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2A" w:rsidRDefault="0045762A" w:rsidP="00A9793B">
      <w:pPr>
        <w:tabs>
          <w:tab w:val="left" w:pos="4320"/>
          <w:tab w:val="left" w:pos="4860"/>
        </w:tabs>
        <w:spacing w:after="0" w:line="240" w:lineRule="auto"/>
        <w:ind w:left="-810" w:right="-720"/>
        <w:rPr>
          <w:rFonts w:ascii="Minion Pro" w:hAnsi="Minion Pro"/>
          <w:b/>
          <w:sz w:val="32"/>
          <w:szCs w:val="32"/>
        </w:rPr>
      </w:pPr>
      <w:bookmarkStart w:id="0" w:name="_GoBack"/>
      <w:bookmarkEnd w:id="0"/>
      <w:r>
        <w:rPr>
          <w:rFonts w:ascii="Minion Pro" w:hAnsi="Minion Pro"/>
          <w:b/>
          <w:noProof/>
          <w:sz w:val="32"/>
          <w:szCs w:val="32"/>
        </w:rPr>
        <w:drawing>
          <wp:inline distT="0" distB="0" distL="0" distR="0">
            <wp:extent cx="3252159" cy="1292993"/>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58587" cy="1295549"/>
                    </a:xfrm>
                    <a:prstGeom prst="rect">
                      <a:avLst/>
                    </a:prstGeom>
                    <a:noFill/>
                    <a:ln>
                      <a:noFill/>
                    </a:ln>
                    <a:extLst>
                      <a:ext uri="{53640926-AAD7-44D8-BBD7-CCE9431645EC}">
                        <a14:shadowObscured xmlns:a14="http://schemas.microsoft.com/office/drawing/2010/main"/>
                      </a:ext>
                    </a:extLst>
                  </pic:spPr>
                </pic:pic>
              </a:graphicData>
            </a:graphic>
          </wp:inline>
        </w:drawing>
      </w:r>
    </w:p>
    <w:p w:rsidR="007C03B6" w:rsidRDefault="007C03B6" w:rsidP="00A9793B">
      <w:pPr>
        <w:tabs>
          <w:tab w:val="left" w:pos="4320"/>
          <w:tab w:val="left" w:pos="4860"/>
        </w:tabs>
        <w:spacing w:after="0" w:line="240" w:lineRule="auto"/>
        <w:ind w:left="-810" w:right="-720"/>
        <w:rPr>
          <w:rFonts w:ascii="Minion Pro" w:hAnsi="Minion Pro"/>
          <w:b/>
          <w:sz w:val="32"/>
          <w:szCs w:val="32"/>
        </w:rPr>
      </w:pPr>
    </w:p>
    <w:p w:rsidR="0045762A" w:rsidRPr="002F25EE" w:rsidRDefault="0045762A" w:rsidP="0045762A">
      <w:pPr>
        <w:spacing w:after="0" w:line="240" w:lineRule="auto"/>
        <w:ind w:left="-360" w:right="-720" w:hanging="180"/>
        <w:rPr>
          <w:rFonts w:ascii="Minion Pro" w:hAnsi="Minion Pro"/>
          <w:sz w:val="24"/>
          <w:szCs w:val="24"/>
        </w:rPr>
      </w:pPr>
    </w:p>
    <w:p w:rsidR="00C60276" w:rsidRDefault="00C60276" w:rsidP="0013295E">
      <w:pPr>
        <w:spacing w:after="0" w:line="240" w:lineRule="auto"/>
        <w:ind w:right="-720"/>
        <w:jc w:val="right"/>
        <w:rPr>
          <w:rFonts w:ascii="Times New Roman" w:hAnsi="Times New Roman" w:cs="Times New Roman"/>
          <w:sz w:val="24"/>
          <w:szCs w:val="24"/>
        </w:rPr>
      </w:pPr>
    </w:p>
    <w:p w:rsidR="002F60D9" w:rsidRPr="00C60276" w:rsidRDefault="0013295E" w:rsidP="0013295E">
      <w:pPr>
        <w:spacing w:after="0" w:line="240" w:lineRule="auto"/>
        <w:ind w:right="-720"/>
        <w:jc w:val="right"/>
        <w:rPr>
          <w:rFonts w:ascii="Minion Pro" w:hAnsi="Minion Pro"/>
          <w:b/>
          <w:color w:val="4D4D4D"/>
          <w:sz w:val="30"/>
          <w:szCs w:val="30"/>
        </w:rPr>
      </w:pPr>
      <w:r w:rsidRPr="00C60276">
        <w:rPr>
          <w:rFonts w:ascii="Minion Pro" w:hAnsi="Minion Pro"/>
          <w:b/>
          <w:color w:val="4D4D4D"/>
          <w:sz w:val="30"/>
          <w:szCs w:val="30"/>
        </w:rPr>
        <w:t xml:space="preserve">Department of Commerce, </w:t>
      </w:r>
      <w:r w:rsidR="008A5904" w:rsidRPr="00C60276">
        <w:rPr>
          <w:rFonts w:ascii="Minion Pro" w:hAnsi="Minion Pro"/>
          <w:b/>
          <w:color w:val="4D4D4D"/>
          <w:sz w:val="30"/>
          <w:szCs w:val="30"/>
        </w:rPr>
        <w:t>Community,</w:t>
      </w:r>
    </w:p>
    <w:p w:rsidR="008A5904" w:rsidRPr="00C60276" w:rsidRDefault="008A5904" w:rsidP="0013295E">
      <w:pPr>
        <w:spacing w:after="0" w:line="180" w:lineRule="auto"/>
        <w:ind w:right="-720"/>
        <w:jc w:val="right"/>
        <w:rPr>
          <w:rFonts w:ascii="Minion Pro" w:hAnsi="Minion Pro"/>
          <w:b/>
          <w:color w:val="4D4D4D"/>
          <w:sz w:val="30"/>
          <w:szCs w:val="30"/>
        </w:rPr>
      </w:pPr>
      <w:r w:rsidRPr="00C60276">
        <w:rPr>
          <w:rFonts w:ascii="Minion Pro" w:hAnsi="Minion Pro"/>
          <w:b/>
          <w:color w:val="4D4D4D"/>
          <w:sz w:val="30"/>
          <w:szCs w:val="30"/>
        </w:rPr>
        <w:t>and Economic Development</w:t>
      </w:r>
    </w:p>
    <w:p w:rsidR="008A5904" w:rsidRPr="0013295E" w:rsidRDefault="008A5904" w:rsidP="005659F8">
      <w:pPr>
        <w:spacing w:after="0" w:line="240" w:lineRule="auto"/>
        <w:ind w:right="-720"/>
        <w:jc w:val="right"/>
        <w:rPr>
          <w:rFonts w:ascii="Minion Pro" w:hAnsi="Minion Pro"/>
          <w:color w:val="4D4D4D"/>
          <w:sz w:val="12"/>
          <w:szCs w:val="12"/>
        </w:rPr>
      </w:pPr>
    </w:p>
    <w:p w:rsidR="008A5904" w:rsidRPr="0013295E" w:rsidRDefault="008D673E" w:rsidP="005659F8">
      <w:pPr>
        <w:spacing w:after="0" w:line="240" w:lineRule="auto"/>
        <w:ind w:right="-720"/>
        <w:jc w:val="right"/>
        <w:rPr>
          <w:rFonts w:ascii="Minion Pro" w:hAnsi="Minion Pro"/>
          <w:color w:val="4D4D4D"/>
          <w:sz w:val="20"/>
          <w:szCs w:val="20"/>
        </w:rPr>
      </w:pPr>
      <w:r>
        <w:rPr>
          <w:rFonts w:ascii="Minion Pro" w:hAnsi="Minion Pro"/>
          <w:color w:val="4D4D4D"/>
          <w:sz w:val="20"/>
          <w:szCs w:val="20"/>
        </w:rPr>
        <w:t>DIVISION OF BANKING AND SECURITIES</w:t>
      </w:r>
    </w:p>
    <w:p w:rsidR="00E658AC" w:rsidRPr="0013295E" w:rsidRDefault="00E658AC" w:rsidP="005659F8">
      <w:pPr>
        <w:spacing w:after="0" w:line="240" w:lineRule="auto"/>
        <w:ind w:right="-720"/>
        <w:jc w:val="right"/>
        <w:rPr>
          <w:rFonts w:ascii="Minion Pro" w:hAnsi="Minion Pro"/>
          <w:color w:val="4D4D4D"/>
          <w:sz w:val="12"/>
        </w:rPr>
      </w:pPr>
    </w:p>
    <w:p w:rsidR="00E658AC" w:rsidRPr="0013295E" w:rsidRDefault="000602D5"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550 West Seventh Avenue, Suite 1850</w:t>
      </w:r>
    </w:p>
    <w:p w:rsidR="00E658AC" w:rsidRPr="0013295E" w:rsidRDefault="000602D5"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Anchorage, AK 99501</w:t>
      </w:r>
    </w:p>
    <w:p w:rsidR="00E658AC" w:rsidRPr="0013295E" w:rsidRDefault="003E357A"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Main: 907.</w:t>
      </w:r>
      <w:r w:rsidR="00F7181B">
        <w:rPr>
          <w:rFonts w:ascii="Century Gothic" w:hAnsi="Century Gothic"/>
          <w:color w:val="4D4D4D"/>
          <w:sz w:val="16"/>
          <w:szCs w:val="16"/>
        </w:rPr>
        <w:t>269.8140</w:t>
      </w:r>
    </w:p>
    <w:p w:rsidR="00E658AC" w:rsidRDefault="007C03B6"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F</w:t>
      </w:r>
      <w:r w:rsidR="00E658AC" w:rsidRPr="0013295E">
        <w:rPr>
          <w:rFonts w:ascii="Century Gothic" w:hAnsi="Century Gothic"/>
          <w:color w:val="4D4D4D"/>
          <w:sz w:val="16"/>
          <w:szCs w:val="16"/>
        </w:rPr>
        <w:t xml:space="preserve">ax: </w:t>
      </w:r>
      <w:r w:rsidR="003E357A">
        <w:rPr>
          <w:rFonts w:ascii="Century Gothic" w:hAnsi="Century Gothic"/>
          <w:color w:val="4D4D4D"/>
          <w:sz w:val="16"/>
          <w:szCs w:val="16"/>
        </w:rPr>
        <w:t>907.</w:t>
      </w:r>
      <w:r w:rsidR="000602D5">
        <w:rPr>
          <w:rFonts w:ascii="Century Gothic" w:hAnsi="Century Gothic"/>
          <w:color w:val="4D4D4D"/>
          <w:sz w:val="16"/>
          <w:szCs w:val="16"/>
        </w:rPr>
        <w:t>269.8146</w:t>
      </w:r>
    </w:p>
    <w:p w:rsidR="00C60276" w:rsidRPr="00C60276" w:rsidRDefault="000602D5" w:rsidP="00C60276">
      <w:pPr>
        <w:spacing w:after="0" w:line="240" w:lineRule="auto"/>
        <w:ind w:right="-720"/>
        <w:jc w:val="right"/>
        <w:rPr>
          <w:rFonts w:ascii="Century Gothic" w:hAnsi="Century Gothic"/>
          <w:color w:val="4D4D4D"/>
          <w:sz w:val="16"/>
          <w:szCs w:val="16"/>
        </w:rPr>
        <w:sectPr w:rsidR="00C60276" w:rsidRPr="00C60276" w:rsidSect="003A3733">
          <w:headerReference w:type="even" r:id="rId10"/>
          <w:headerReference w:type="default" r:id="rId11"/>
          <w:headerReference w:type="first" r:id="rId12"/>
          <w:footerReference w:type="first" r:id="rId13"/>
          <w:type w:val="continuous"/>
          <w:pgSz w:w="12240" w:h="15840" w:code="1"/>
          <w:pgMar w:top="630" w:right="1440" w:bottom="1440" w:left="1440" w:header="0" w:footer="720" w:gutter="0"/>
          <w:cols w:num="2" w:space="180"/>
          <w:titlePg/>
          <w:docGrid w:linePitch="360"/>
        </w:sectPr>
      </w:pPr>
      <w:r>
        <w:rPr>
          <w:rFonts w:ascii="Century Gothic" w:hAnsi="Century Gothic"/>
          <w:color w:val="4D4D4D"/>
          <w:sz w:val="16"/>
          <w:szCs w:val="16"/>
        </w:rPr>
        <w:t>Toll free: 1.888.925.2521</w:t>
      </w:r>
    </w:p>
    <w:p w:rsidR="0073717A" w:rsidRDefault="00A97F10" w:rsidP="00BE6652">
      <w:pPr>
        <w:spacing w:after="0" w:line="240" w:lineRule="auto"/>
        <w:ind w:right="720"/>
        <w:rPr>
          <w:rFonts w:ascii="Garamond" w:hAnsi="Garamond" w:cs="Times New Roman"/>
          <w:sz w:val="24"/>
          <w:szCs w:val="24"/>
        </w:rPr>
      </w:pPr>
      <w:r>
        <w:rPr>
          <w:rFonts w:ascii="Garamond" w:hAnsi="Garamond" w:cs="Times New Roman"/>
          <w:sz w:val="24"/>
          <w:szCs w:val="24"/>
        </w:rPr>
        <w:lastRenderedPageBreak/>
        <w:t xml:space="preserve">December </w:t>
      </w:r>
      <w:r w:rsidR="00EF0898">
        <w:rPr>
          <w:rFonts w:ascii="Garamond" w:hAnsi="Garamond" w:cs="Times New Roman"/>
          <w:sz w:val="24"/>
          <w:szCs w:val="24"/>
        </w:rPr>
        <w:t>29</w:t>
      </w:r>
      <w:r>
        <w:rPr>
          <w:rFonts w:ascii="Garamond" w:hAnsi="Garamond" w:cs="Times New Roman"/>
          <w:sz w:val="24"/>
          <w:szCs w:val="24"/>
        </w:rPr>
        <w:t>, 2016</w:t>
      </w:r>
    </w:p>
    <w:p w:rsidR="00A97F10" w:rsidRDefault="00A97F10" w:rsidP="00BE6652">
      <w:pPr>
        <w:spacing w:after="0" w:line="240" w:lineRule="auto"/>
        <w:ind w:right="720"/>
        <w:rPr>
          <w:rFonts w:ascii="Garamond" w:hAnsi="Garamond" w:cs="Times New Roman"/>
          <w:sz w:val="24"/>
          <w:szCs w:val="24"/>
        </w:rPr>
      </w:pPr>
    </w:p>
    <w:p w:rsidR="00A97F10" w:rsidRDefault="00A97F10" w:rsidP="00BE6652">
      <w:pPr>
        <w:spacing w:after="0" w:line="240" w:lineRule="auto"/>
        <w:ind w:right="720"/>
        <w:rPr>
          <w:rFonts w:ascii="Garamond" w:hAnsi="Garamond" w:cs="Times New Roman"/>
          <w:sz w:val="24"/>
          <w:szCs w:val="24"/>
        </w:rPr>
      </w:pPr>
    </w:p>
    <w:p w:rsidR="0073717A" w:rsidRPr="003570EA" w:rsidRDefault="00A97F10" w:rsidP="00BE6652">
      <w:pPr>
        <w:spacing w:after="0" w:line="240" w:lineRule="auto"/>
        <w:ind w:right="720"/>
        <w:rPr>
          <w:rFonts w:ascii="Garamond" w:hAnsi="Garamond" w:cs="Times New Roman"/>
          <w:sz w:val="24"/>
          <w:szCs w:val="24"/>
        </w:rPr>
      </w:pPr>
      <w:r>
        <w:rPr>
          <w:rFonts w:ascii="Garamond" w:hAnsi="Garamond" w:cs="Times New Roman"/>
          <w:sz w:val="24"/>
          <w:szCs w:val="24"/>
        </w:rPr>
        <w:t>To Whom It May Concern:</w:t>
      </w:r>
    </w:p>
    <w:p w:rsidR="0073717A" w:rsidRDefault="0073717A" w:rsidP="00BE6652">
      <w:pPr>
        <w:spacing w:after="0" w:line="240" w:lineRule="auto"/>
        <w:ind w:right="720"/>
        <w:rPr>
          <w:rFonts w:ascii="Garamond" w:hAnsi="Garamond" w:cs="Times New Roman"/>
          <w:sz w:val="24"/>
          <w:szCs w:val="24"/>
        </w:rPr>
      </w:pPr>
    </w:p>
    <w:p w:rsidR="00A97F10" w:rsidRDefault="00A97F10" w:rsidP="00BE6652">
      <w:pPr>
        <w:spacing w:after="0" w:line="240" w:lineRule="auto"/>
        <w:ind w:right="720"/>
        <w:rPr>
          <w:rFonts w:ascii="Garamond" w:hAnsi="Garamond" w:cs="Times New Roman"/>
          <w:sz w:val="24"/>
          <w:szCs w:val="24"/>
        </w:rPr>
      </w:pPr>
      <w:r>
        <w:rPr>
          <w:rFonts w:ascii="Garamond" w:hAnsi="Garamond" w:cs="Times New Roman"/>
          <w:sz w:val="24"/>
          <w:szCs w:val="24"/>
        </w:rPr>
        <w:t>Effective January 1, 2017, Alaska Mortgage Regulation 3 AAC 14.434(d) states that a mortgage licensee shall maintain at least two control persons (CP) at all times, unless the department temporarily waives the requirement of this subsection because circumstances beyond the mortgage licensee’s control make only one control person available.</w:t>
      </w:r>
    </w:p>
    <w:p w:rsidR="00A97F10" w:rsidRDefault="00A97F10" w:rsidP="00BE6652">
      <w:pPr>
        <w:spacing w:after="0" w:line="240" w:lineRule="auto"/>
        <w:ind w:right="720"/>
        <w:rPr>
          <w:rFonts w:ascii="Garamond" w:hAnsi="Garamond" w:cs="Times New Roman"/>
          <w:sz w:val="24"/>
          <w:szCs w:val="24"/>
        </w:rPr>
      </w:pPr>
    </w:p>
    <w:p w:rsidR="00A97F10" w:rsidRDefault="00A97F10" w:rsidP="00BE6652">
      <w:pPr>
        <w:spacing w:after="0" w:line="240" w:lineRule="auto"/>
        <w:ind w:right="720"/>
        <w:rPr>
          <w:rFonts w:ascii="Garamond" w:hAnsi="Garamond" w:cs="Times New Roman"/>
          <w:sz w:val="24"/>
          <w:szCs w:val="24"/>
        </w:rPr>
      </w:pPr>
      <w:r>
        <w:rPr>
          <w:rFonts w:ascii="Garamond" w:hAnsi="Garamond" w:cs="Times New Roman"/>
          <w:sz w:val="24"/>
          <w:szCs w:val="24"/>
        </w:rPr>
        <w:t>The Alaska Division of Banking and Securities (Division) understands that it will take some time for you to determ</w:t>
      </w:r>
      <w:r w:rsidR="0008271B">
        <w:rPr>
          <w:rFonts w:ascii="Garamond" w:hAnsi="Garamond" w:cs="Times New Roman"/>
          <w:sz w:val="24"/>
          <w:szCs w:val="24"/>
        </w:rPr>
        <w:t>ine who will become the second CP</w:t>
      </w:r>
      <w:r>
        <w:rPr>
          <w:rFonts w:ascii="Garamond" w:hAnsi="Garamond" w:cs="Times New Roman"/>
          <w:sz w:val="24"/>
          <w:szCs w:val="24"/>
        </w:rPr>
        <w:t>, submit the required information in NMLS, obtain fingerprints</w:t>
      </w:r>
      <w:r w:rsidR="00BE6652">
        <w:rPr>
          <w:rFonts w:ascii="Garamond" w:hAnsi="Garamond" w:cs="Times New Roman"/>
          <w:sz w:val="24"/>
          <w:szCs w:val="24"/>
        </w:rPr>
        <w:t>,</w:t>
      </w:r>
      <w:r>
        <w:rPr>
          <w:rFonts w:ascii="Garamond" w:hAnsi="Garamond" w:cs="Times New Roman"/>
          <w:sz w:val="24"/>
          <w:szCs w:val="24"/>
        </w:rPr>
        <w:t xml:space="preserve"> electronically submitted them through the NMLS and authorize a credit report for the Division to review.</w:t>
      </w:r>
    </w:p>
    <w:p w:rsidR="00A97F10" w:rsidRDefault="00A97F10" w:rsidP="00BE6652">
      <w:pPr>
        <w:spacing w:after="0" w:line="240" w:lineRule="auto"/>
        <w:ind w:right="720"/>
        <w:rPr>
          <w:rFonts w:ascii="Garamond" w:hAnsi="Garamond" w:cs="Times New Roman"/>
          <w:sz w:val="24"/>
          <w:szCs w:val="24"/>
        </w:rPr>
      </w:pPr>
    </w:p>
    <w:p w:rsidR="0008271B" w:rsidRDefault="0008271B" w:rsidP="00BE6652">
      <w:pPr>
        <w:spacing w:after="0" w:line="240" w:lineRule="auto"/>
        <w:ind w:right="720"/>
        <w:rPr>
          <w:rFonts w:ascii="Garamond" w:hAnsi="Garamond" w:cs="Times New Roman"/>
          <w:sz w:val="24"/>
          <w:szCs w:val="24"/>
        </w:rPr>
      </w:pPr>
      <w:r>
        <w:rPr>
          <w:rFonts w:ascii="Garamond" w:hAnsi="Garamond" w:cs="Times New Roman"/>
          <w:sz w:val="24"/>
          <w:szCs w:val="24"/>
        </w:rPr>
        <w:t>A control person is not required to have ownership in the company, but must be able to carry out business activities in the event the existi</w:t>
      </w:r>
      <w:r w:rsidR="00AA3651">
        <w:rPr>
          <w:rFonts w:ascii="Garamond" w:hAnsi="Garamond" w:cs="Times New Roman"/>
          <w:sz w:val="24"/>
          <w:szCs w:val="24"/>
        </w:rPr>
        <w:t xml:space="preserve">ng CP is unable to function </w:t>
      </w:r>
      <w:r>
        <w:rPr>
          <w:rFonts w:ascii="Garamond" w:hAnsi="Garamond" w:cs="Times New Roman"/>
          <w:sz w:val="24"/>
          <w:szCs w:val="24"/>
        </w:rPr>
        <w:t xml:space="preserve">or leaves the company.  The purpose of having two CPs is </w:t>
      </w:r>
      <w:r w:rsidR="00BE6652">
        <w:rPr>
          <w:rFonts w:ascii="Garamond" w:hAnsi="Garamond" w:cs="Times New Roman"/>
          <w:sz w:val="24"/>
          <w:szCs w:val="24"/>
        </w:rPr>
        <w:t>for consumer protection</w:t>
      </w:r>
      <w:r w:rsidR="00AA3651">
        <w:rPr>
          <w:rFonts w:ascii="Garamond" w:hAnsi="Garamond" w:cs="Times New Roman"/>
          <w:sz w:val="24"/>
          <w:szCs w:val="24"/>
        </w:rPr>
        <w:t xml:space="preserve">; </w:t>
      </w:r>
      <w:r>
        <w:rPr>
          <w:rFonts w:ascii="Garamond" w:hAnsi="Garamond" w:cs="Times New Roman"/>
          <w:sz w:val="24"/>
          <w:szCs w:val="24"/>
        </w:rPr>
        <w:t>to ensure the company can maintain its Mortgage Broker/Lender license in Alaska i</w:t>
      </w:r>
      <w:r w:rsidR="00AA3651">
        <w:rPr>
          <w:rFonts w:ascii="Garamond" w:hAnsi="Garamond" w:cs="Times New Roman"/>
          <w:sz w:val="24"/>
          <w:szCs w:val="24"/>
        </w:rPr>
        <w:t>f</w:t>
      </w:r>
      <w:r>
        <w:rPr>
          <w:rFonts w:ascii="Garamond" w:hAnsi="Garamond" w:cs="Times New Roman"/>
          <w:sz w:val="24"/>
          <w:szCs w:val="24"/>
        </w:rPr>
        <w:t xml:space="preserve"> the existing CP is unable to manage/operate the business.  A CP </w:t>
      </w:r>
      <w:r w:rsidR="00C77029">
        <w:rPr>
          <w:rFonts w:ascii="Garamond" w:hAnsi="Garamond" w:cs="Times New Roman"/>
          <w:sz w:val="24"/>
          <w:szCs w:val="24"/>
        </w:rPr>
        <w:t>is required to maintain records and</w:t>
      </w:r>
      <w:r>
        <w:rPr>
          <w:rFonts w:ascii="Garamond" w:hAnsi="Garamond" w:cs="Times New Roman"/>
          <w:sz w:val="24"/>
          <w:szCs w:val="24"/>
        </w:rPr>
        <w:t xml:space="preserve"> </w:t>
      </w:r>
      <w:r w:rsidR="00AA3651">
        <w:rPr>
          <w:rFonts w:ascii="Garamond" w:hAnsi="Garamond" w:cs="Times New Roman"/>
          <w:sz w:val="24"/>
          <w:szCs w:val="24"/>
        </w:rPr>
        <w:t xml:space="preserve">may need to </w:t>
      </w:r>
      <w:r>
        <w:rPr>
          <w:rFonts w:ascii="Garamond" w:hAnsi="Garamond" w:cs="Times New Roman"/>
          <w:sz w:val="24"/>
          <w:szCs w:val="24"/>
        </w:rPr>
        <w:t>manage the affairs of the business if warranted (i.e. sell, dissolve, etc.)</w:t>
      </w:r>
    </w:p>
    <w:p w:rsidR="0008271B" w:rsidRDefault="0008271B" w:rsidP="00BE6652">
      <w:pPr>
        <w:spacing w:after="0" w:line="240" w:lineRule="auto"/>
        <w:ind w:right="720"/>
        <w:rPr>
          <w:rFonts w:ascii="Garamond" w:hAnsi="Garamond" w:cs="Times New Roman"/>
          <w:sz w:val="24"/>
          <w:szCs w:val="24"/>
        </w:rPr>
      </w:pPr>
    </w:p>
    <w:p w:rsidR="00A97F10" w:rsidRPr="00EF0898" w:rsidRDefault="0008271B" w:rsidP="00BE6652">
      <w:pPr>
        <w:spacing w:after="0" w:line="240" w:lineRule="auto"/>
        <w:ind w:right="720"/>
        <w:rPr>
          <w:rFonts w:ascii="Garamond" w:hAnsi="Garamond" w:cs="Times New Roman"/>
          <w:b/>
          <w:sz w:val="24"/>
          <w:szCs w:val="24"/>
        </w:rPr>
      </w:pPr>
      <w:r w:rsidRPr="00EF0898">
        <w:rPr>
          <w:rFonts w:ascii="Garamond" w:hAnsi="Garamond" w:cs="Times New Roman"/>
          <w:b/>
          <w:sz w:val="24"/>
          <w:szCs w:val="24"/>
        </w:rPr>
        <w:t>W</w:t>
      </w:r>
      <w:r w:rsidR="00A97F10" w:rsidRPr="00EF0898">
        <w:rPr>
          <w:rFonts w:ascii="Garamond" w:hAnsi="Garamond" w:cs="Times New Roman"/>
          <w:b/>
          <w:sz w:val="24"/>
          <w:szCs w:val="24"/>
        </w:rPr>
        <w:t>aiver</w:t>
      </w:r>
      <w:r w:rsidRPr="00EF0898">
        <w:rPr>
          <w:rFonts w:ascii="Garamond" w:hAnsi="Garamond" w:cs="Times New Roman"/>
          <w:b/>
          <w:sz w:val="24"/>
          <w:szCs w:val="24"/>
        </w:rPr>
        <w:t>s</w:t>
      </w:r>
      <w:r w:rsidR="00A97F10" w:rsidRPr="00EF0898">
        <w:rPr>
          <w:rFonts w:ascii="Garamond" w:hAnsi="Garamond" w:cs="Times New Roman"/>
          <w:b/>
          <w:sz w:val="24"/>
          <w:szCs w:val="24"/>
        </w:rPr>
        <w:t xml:space="preserve"> will be ra</w:t>
      </w:r>
      <w:r w:rsidRPr="00EF0898">
        <w:rPr>
          <w:rFonts w:ascii="Garamond" w:hAnsi="Garamond" w:cs="Times New Roman"/>
          <w:b/>
          <w:sz w:val="24"/>
          <w:szCs w:val="24"/>
        </w:rPr>
        <w:t>re and the Division will issue a waiver on a case by case basis.  To request a waiver provide the following</w:t>
      </w:r>
      <w:r w:rsidR="00A97F10" w:rsidRPr="00EF0898">
        <w:rPr>
          <w:rFonts w:ascii="Garamond" w:hAnsi="Garamond" w:cs="Times New Roman"/>
          <w:b/>
          <w:sz w:val="24"/>
          <w:szCs w:val="24"/>
        </w:rPr>
        <w:t xml:space="preserve"> information to </w:t>
      </w:r>
      <w:hyperlink r:id="rId14" w:history="1">
        <w:r w:rsidR="00A97F10" w:rsidRPr="00EF0898">
          <w:rPr>
            <w:rStyle w:val="Hyperlink"/>
            <w:rFonts w:ascii="Garamond" w:hAnsi="Garamond" w:cs="Times New Roman"/>
            <w:b/>
            <w:sz w:val="24"/>
            <w:szCs w:val="24"/>
          </w:rPr>
          <w:t>mortgagelending@alaska.gov</w:t>
        </w:r>
      </w:hyperlink>
      <w:r w:rsidR="00A97F10" w:rsidRPr="00EF0898">
        <w:rPr>
          <w:rFonts w:ascii="Garamond" w:hAnsi="Garamond" w:cs="Times New Roman"/>
          <w:b/>
          <w:sz w:val="24"/>
          <w:szCs w:val="24"/>
        </w:rPr>
        <w:t>:</w:t>
      </w:r>
    </w:p>
    <w:p w:rsidR="00A97F10" w:rsidRDefault="00A97F10" w:rsidP="00BE6652">
      <w:pPr>
        <w:spacing w:after="0" w:line="240" w:lineRule="auto"/>
        <w:ind w:right="720"/>
        <w:rPr>
          <w:rFonts w:ascii="Garamond" w:hAnsi="Garamond" w:cs="Times New Roman"/>
          <w:sz w:val="24"/>
          <w:szCs w:val="24"/>
        </w:rPr>
      </w:pPr>
    </w:p>
    <w:p w:rsidR="00A97F10" w:rsidRDefault="0008271B" w:rsidP="00BE6652">
      <w:pPr>
        <w:pStyle w:val="ListParagraph"/>
        <w:numPr>
          <w:ilvl w:val="0"/>
          <w:numId w:val="1"/>
        </w:numPr>
        <w:spacing w:after="0" w:line="240" w:lineRule="auto"/>
        <w:ind w:right="720"/>
        <w:rPr>
          <w:rFonts w:ascii="Garamond" w:hAnsi="Garamond" w:cs="Times New Roman"/>
          <w:sz w:val="24"/>
          <w:szCs w:val="24"/>
        </w:rPr>
      </w:pPr>
      <w:r>
        <w:rPr>
          <w:rFonts w:ascii="Garamond" w:hAnsi="Garamond" w:cs="Times New Roman"/>
          <w:sz w:val="24"/>
          <w:szCs w:val="24"/>
        </w:rPr>
        <w:t>A</w:t>
      </w:r>
      <w:r w:rsidR="00A97F10">
        <w:rPr>
          <w:rFonts w:ascii="Garamond" w:hAnsi="Garamond" w:cs="Times New Roman"/>
          <w:sz w:val="24"/>
          <w:szCs w:val="24"/>
        </w:rPr>
        <w:t xml:space="preserve"> </w:t>
      </w:r>
      <w:r>
        <w:rPr>
          <w:rFonts w:ascii="Garamond" w:hAnsi="Garamond" w:cs="Times New Roman"/>
          <w:sz w:val="24"/>
          <w:szCs w:val="24"/>
        </w:rPr>
        <w:t>detailed explanation</w:t>
      </w:r>
      <w:r w:rsidR="00A97F10">
        <w:rPr>
          <w:rFonts w:ascii="Garamond" w:hAnsi="Garamond" w:cs="Times New Roman"/>
          <w:sz w:val="24"/>
          <w:szCs w:val="24"/>
        </w:rPr>
        <w:t xml:space="preserve"> why your company cannot maintain two CPs in the company </w:t>
      </w:r>
      <w:r w:rsidR="00C77029">
        <w:rPr>
          <w:rFonts w:ascii="Garamond" w:hAnsi="Garamond" w:cs="Times New Roman"/>
          <w:sz w:val="24"/>
          <w:szCs w:val="24"/>
        </w:rPr>
        <w:t xml:space="preserve">NMLS </w:t>
      </w:r>
      <w:r w:rsidR="00A97F10">
        <w:rPr>
          <w:rFonts w:ascii="Garamond" w:hAnsi="Garamond" w:cs="Times New Roman"/>
          <w:sz w:val="24"/>
          <w:szCs w:val="24"/>
        </w:rPr>
        <w:t>record.</w:t>
      </w:r>
      <w:r w:rsidR="00BE6652">
        <w:rPr>
          <w:rFonts w:ascii="Garamond" w:hAnsi="Garamond" w:cs="Times New Roman"/>
          <w:sz w:val="24"/>
          <w:szCs w:val="24"/>
        </w:rPr>
        <w:t xml:space="preserve">  Include the company NMLS #.</w:t>
      </w:r>
    </w:p>
    <w:p w:rsidR="00A97F10" w:rsidRDefault="00C77029" w:rsidP="00BE6652">
      <w:pPr>
        <w:pStyle w:val="ListParagraph"/>
        <w:numPr>
          <w:ilvl w:val="0"/>
          <w:numId w:val="1"/>
        </w:numPr>
        <w:spacing w:after="0" w:line="240" w:lineRule="auto"/>
        <w:ind w:right="720"/>
        <w:rPr>
          <w:rFonts w:ascii="Garamond" w:hAnsi="Garamond" w:cs="Times New Roman"/>
          <w:sz w:val="24"/>
          <w:szCs w:val="24"/>
        </w:rPr>
      </w:pPr>
      <w:r>
        <w:rPr>
          <w:rFonts w:ascii="Garamond" w:hAnsi="Garamond" w:cs="Times New Roman"/>
          <w:sz w:val="24"/>
          <w:szCs w:val="24"/>
        </w:rPr>
        <w:t xml:space="preserve">A current management </w:t>
      </w:r>
      <w:r w:rsidR="00BE6652">
        <w:rPr>
          <w:rFonts w:ascii="Garamond" w:hAnsi="Garamond" w:cs="Times New Roman"/>
          <w:sz w:val="24"/>
          <w:szCs w:val="24"/>
        </w:rPr>
        <w:t>chart with</w:t>
      </w:r>
      <w:r w:rsidR="00A97F10">
        <w:rPr>
          <w:rFonts w:ascii="Garamond" w:hAnsi="Garamond" w:cs="Times New Roman"/>
          <w:sz w:val="24"/>
          <w:szCs w:val="24"/>
        </w:rPr>
        <w:t xml:space="preserve"> all </w:t>
      </w:r>
      <w:r w:rsidR="0008271B">
        <w:rPr>
          <w:rFonts w:ascii="Garamond" w:hAnsi="Garamond" w:cs="Times New Roman"/>
          <w:sz w:val="24"/>
          <w:szCs w:val="24"/>
        </w:rPr>
        <w:t xml:space="preserve">senior management </w:t>
      </w:r>
      <w:r w:rsidR="00BE6652">
        <w:rPr>
          <w:rFonts w:ascii="Garamond" w:hAnsi="Garamond" w:cs="Times New Roman"/>
          <w:sz w:val="24"/>
          <w:szCs w:val="24"/>
        </w:rPr>
        <w:t xml:space="preserve">employees, </w:t>
      </w:r>
      <w:r w:rsidR="00A97F10">
        <w:rPr>
          <w:rFonts w:ascii="Garamond" w:hAnsi="Garamond" w:cs="Times New Roman"/>
          <w:sz w:val="24"/>
          <w:szCs w:val="24"/>
        </w:rPr>
        <w:t>title</w:t>
      </w:r>
      <w:r w:rsidR="0008271B">
        <w:rPr>
          <w:rFonts w:ascii="Garamond" w:hAnsi="Garamond" w:cs="Times New Roman"/>
          <w:sz w:val="24"/>
          <w:szCs w:val="24"/>
        </w:rPr>
        <w:t xml:space="preserve"> and job description.</w:t>
      </w:r>
    </w:p>
    <w:p w:rsidR="0008271B" w:rsidRDefault="00C77029" w:rsidP="00BE6652">
      <w:pPr>
        <w:pStyle w:val="ListParagraph"/>
        <w:numPr>
          <w:ilvl w:val="0"/>
          <w:numId w:val="1"/>
        </w:numPr>
        <w:spacing w:after="0" w:line="240" w:lineRule="auto"/>
        <w:ind w:right="720"/>
        <w:rPr>
          <w:rFonts w:ascii="Garamond" w:hAnsi="Garamond" w:cs="Times New Roman"/>
          <w:sz w:val="24"/>
          <w:szCs w:val="24"/>
        </w:rPr>
      </w:pPr>
      <w:r>
        <w:rPr>
          <w:rFonts w:ascii="Garamond" w:hAnsi="Garamond" w:cs="Times New Roman"/>
          <w:sz w:val="24"/>
          <w:szCs w:val="24"/>
        </w:rPr>
        <w:t>A succession plan.</w:t>
      </w:r>
    </w:p>
    <w:p w:rsidR="0008271B" w:rsidRPr="00A97F10" w:rsidRDefault="0008271B" w:rsidP="00BE6652">
      <w:pPr>
        <w:pStyle w:val="ListParagraph"/>
        <w:numPr>
          <w:ilvl w:val="0"/>
          <w:numId w:val="1"/>
        </w:numPr>
        <w:spacing w:after="0" w:line="240" w:lineRule="auto"/>
        <w:ind w:right="720"/>
        <w:rPr>
          <w:rFonts w:ascii="Garamond" w:hAnsi="Garamond" w:cs="Times New Roman"/>
          <w:sz w:val="24"/>
          <w:szCs w:val="24"/>
        </w:rPr>
      </w:pPr>
      <w:r>
        <w:rPr>
          <w:rFonts w:ascii="Garamond" w:hAnsi="Garamond" w:cs="Times New Roman"/>
          <w:sz w:val="24"/>
          <w:szCs w:val="24"/>
        </w:rPr>
        <w:t xml:space="preserve">A will or living trust that transfers ownership </w:t>
      </w:r>
      <w:r w:rsidR="00C77029">
        <w:rPr>
          <w:rFonts w:ascii="Garamond" w:hAnsi="Garamond" w:cs="Times New Roman"/>
          <w:sz w:val="24"/>
          <w:szCs w:val="24"/>
        </w:rPr>
        <w:t xml:space="preserve">of the business </w:t>
      </w:r>
      <w:r>
        <w:rPr>
          <w:rFonts w:ascii="Garamond" w:hAnsi="Garamond" w:cs="Times New Roman"/>
          <w:sz w:val="24"/>
          <w:szCs w:val="24"/>
        </w:rPr>
        <w:t>and recordkeeping responsibilities, outside of probate.  Provide a copy of the signed legal document.</w:t>
      </w:r>
    </w:p>
    <w:p w:rsidR="00A97F10" w:rsidRDefault="00A97F10" w:rsidP="00BE6652">
      <w:pPr>
        <w:spacing w:after="0" w:line="240" w:lineRule="auto"/>
        <w:ind w:right="720"/>
        <w:rPr>
          <w:rFonts w:ascii="Garamond" w:hAnsi="Garamond" w:cs="Times New Roman"/>
          <w:sz w:val="24"/>
          <w:szCs w:val="24"/>
        </w:rPr>
      </w:pPr>
    </w:p>
    <w:p w:rsidR="0073717A" w:rsidRDefault="00BE6652" w:rsidP="00BE6652">
      <w:pPr>
        <w:spacing w:after="0" w:line="240" w:lineRule="auto"/>
        <w:ind w:right="720"/>
        <w:rPr>
          <w:rFonts w:ascii="Garamond" w:hAnsi="Garamond" w:cs="Times New Roman"/>
          <w:sz w:val="24"/>
          <w:szCs w:val="24"/>
        </w:rPr>
      </w:pPr>
      <w:r>
        <w:rPr>
          <w:rFonts w:ascii="Garamond" w:hAnsi="Garamond" w:cs="Times New Roman"/>
          <w:sz w:val="24"/>
          <w:szCs w:val="24"/>
        </w:rPr>
        <w:t>Sincerely,</w:t>
      </w:r>
    </w:p>
    <w:p w:rsidR="00BE6652" w:rsidRDefault="00BE6652" w:rsidP="00BE6652">
      <w:pPr>
        <w:spacing w:after="0" w:line="240" w:lineRule="auto"/>
        <w:ind w:right="720"/>
        <w:rPr>
          <w:rFonts w:ascii="Garamond" w:hAnsi="Garamond" w:cs="Times New Roman"/>
          <w:sz w:val="24"/>
          <w:szCs w:val="24"/>
        </w:rPr>
      </w:pPr>
    </w:p>
    <w:p w:rsidR="0073717A" w:rsidRPr="00EF0898" w:rsidRDefault="00A97F10" w:rsidP="00BE6652">
      <w:pPr>
        <w:spacing w:after="0" w:line="240" w:lineRule="auto"/>
        <w:ind w:right="720"/>
        <w:rPr>
          <w:rFonts w:ascii="Edwardian Script ITC" w:hAnsi="Edwardian Script ITC" w:cs="Times New Roman"/>
          <w:i/>
          <w:sz w:val="24"/>
          <w:szCs w:val="24"/>
        </w:rPr>
      </w:pPr>
      <w:r w:rsidRPr="00EF0898">
        <w:rPr>
          <w:rFonts w:ascii="Edwardian Script ITC" w:hAnsi="Edwardian Script ITC" w:cs="Times New Roman"/>
          <w:i/>
          <w:sz w:val="24"/>
          <w:szCs w:val="24"/>
        </w:rPr>
        <w:t>Tracy Reno</w:t>
      </w:r>
    </w:p>
    <w:p w:rsidR="0073717A" w:rsidRPr="003570EA" w:rsidRDefault="00A97F10" w:rsidP="00BE6652">
      <w:pPr>
        <w:spacing w:after="0" w:line="240" w:lineRule="auto"/>
        <w:ind w:right="720"/>
        <w:rPr>
          <w:rFonts w:ascii="Garamond" w:hAnsi="Garamond" w:cs="Times New Roman"/>
          <w:sz w:val="24"/>
          <w:szCs w:val="24"/>
        </w:rPr>
      </w:pPr>
      <w:r>
        <w:rPr>
          <w:rFonts w:ascii="Garamond" w:hAnsi="Garamond" w:cs="Times New Roman"/>
          <w:sz w:val="24"/>
          <w:szCs w:val="24"/>
        </w:rPr>
        <w:t>Financial Examiner III</w:t>
      </w:r>
    </w:p>
    <w:p w:rsidR="0073717A" w:rsidRPr="00D71F56" w:rsidRDefault="0073717A" w:rsidP="00BE6652">
      <w:pPr>
        <w:spacing w:after="0" w:line="240" w:lineRule="auto"/>
        <w:ind w:right="720"/>
        <w:rPr>
          <w:rFonts w:ascii="Garamond" w:hAnsi="Garamond" w:cs="Times New Roman"/>
          <w:sz w:val="24"/>
          <w:szCs w:val="24"/>
        </w:rPr>
      </w:pPr>
    </w:p>
    <w:p w:rsidR="00C77029" w:rsidRDefault="00C77029" w:rsidP="00BE6652">
      <w:pPr>
        <w:spacing w:after="0" w:line="240" w:lineRule="auto"/>
        <w:ind w:right="720"/>
        <w:rPr>
          <w:rFonts w:ascii="Garamond" w:hAnsi="Garamond" w:cs="Times New Roman"/>
          <w:sz w:val="24"/>
          <w:szCs w:val="24"/>
        </w:rPr>
      </w:pPr>
      <w:r>
        <w:rPr>
          <w:rFonts w:ascii="Garamond" w:hAnsi="Garamond" w:cs="Times New Roman"/>
          <w:sz w:val="24"/>
          <w:szCs w:val="24"/>
        </w:rPr>
        <w:t>References:  AS 06.60.020, 06.60.990(3)</w:t>
      </w:r>
      <w:r w:rsidR="00EF0898">
        <w:rPr>
          <w:rFonts w:ascii="Garamond" w:hAnsi="Garamond" w:cs="Times New Roman"/>
          <w:sz w:val="24"/>
          <w:szCs w:val="24"/>
        </w:rPr>
        <w:t xml:space="preserve"> and (4)</w:t>
      </w:r>
      <w:r>
        <w:rPr>
          <w:rFonts w:ascii="Garamond" w:hAnsi="Garamond" w:cs="Times New Roman"/>
          <w:sz w:val="24"/>
          <w:szCs w:val="24"/>
        </w:rPr>
        <w:t>, 3 AAC 14.434</w:t>
      </w:r>
    </w:p>
    <w:p w:rsidR="00C77029" w:rsidRDefault="00564186" w:rsidP="00BE6652">
      <w:pPr>
        <w:spacing w:after="0" w:line="240" w:lineRule="auto"/>
        <w:ind w:right="720"/>
        <w:rPr>
          <w:rFonts w:ascii="Garamond" w:hAnsi="Garamond" w:cs="Times New Roman"/>
          <w:sz w:val="24"/>
          <w:szCs w:val="24"/>
        </w:rPr>
      </w:pPr>
      <w:hyperlink r:id="rId15" w:history="1">
        <w:r w:rsidR="00C77029" w:rsidRPr="005B626A">
          <w:rPr>
            <w:rStyle w:val="Hyperlink"/>
            <w:rFonts w:ascii="Garamond" w:hAnsi="Garamond" w:cs="Times New Roman"/>
            <w:sz w:val="24"/>
            <w:szCs w:val="24"/>
          </w:rPr>
          <w:t>https://www.commerce.alaska.gov/web/dbs/Home.aspx</w:t>
        </w:r>
      </w:hyperlink>
    </w:p>
    <w:p w:rsidR="00C77029" w:rsidRPr="00C77029" w:rsidRDefault="00564186" w:rsidP="00BE6652">
      <w:pPr>
        <w:spacing w:after="0" w:line="240" w:lineRule="auto"/>
        <w:ind w:right="720"/>
        <w:rPr>
          <w:rFonts w:ascii="Garamond" w:hAnsi="Garamond" w:cs="Times New Roman"/>
          <w:sz w:val="24"/>
          <w:szCs w:val="24"/>
        </w:rPr>
      </w:pPr>
      <w:hyperlink r:id="rId16" w:history="1">
        <w:r w:rsidR="00C77029" w:rsidRPr="005B626A">
          <w:rPr>
            <w:rStyle w:val="Hyperlink"/>
            <w:rFonts w:ascii="Garamond" w:hAnsi="Garamond" w:cs="Times New Roman"/>
            <w:sz w:val="24"/>
            <w:szCs w:val="24"/>
          </w:rPr>
          <w:t>http://mortgage.nationwidelicensingsystem.org/slr/PublishedStateDocuments/AK-Broker-Lender-Amendment-Checklist.pdf</w:t>
        </w:r>
      </w:hyperlink>
    </w:p>
    <w:sectPr w:rsidR="00C77029" w:rsidRPr="00C77029" w:rsidSect="00BE6652">
      <w:type w:val="continuous"/>
      <w:pgSz w:w="12240" w:h="15840" w:code="1"/>
      <w:pgMar w:top="1080" w:right="720" w:bottom="576" w:left="1152" w:header="1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F0" w:rsidRDefault="004705F0" w:rsidP="005F176A">
      <w:pPr>
        <w:spacing w:after="0" w:line="240" w:lineRule="auto"/>
      </w:pPr>
      <w:r>
        <w:separator/>
      </w:r>
    </w:p>
  </w:endnote>
  <w:endnote w:type="continuationSeparator" w:id="0">
    <w:p w:rsidR="004705F0" w:rsidRDefault="004705F0" w:rsidP="005F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29" w:rsidRDefault="00C77029" w:rsidP="00B2722B">
    <w:pPr>
      <w:pStyle w:val="Footer"/>
      <w:tabs>
        <w:tab w:val="clear" w:pos="9360"/>
        <w:tab w:val="right" w:pos="10800"/>
      </w:tabs>
      <w:ind w:left="-1440"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F0" w:rsidRDefault="004705F0" w:rsidP="005F176A">
      <w:pPr>
        <w:spacing w:after="0" w:line="240" w:lineRule="auto"/>
      </w:pPr>
      <w:r>
        <w:separator/>
      </w:r>
    </w:p>
  </w:footnote>
  <w:footnote w:type="continuationSeparator" w:id="0">
    <w:p w:rsidR="004705F0" w:rsidRDefault="004705F0" w:rsidP="005F1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29" w:rsidRDefault="005641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4" o:spid="_x0000_s2056" type="#_x0000_t75" style="position:absolute;margin-left:0;margin-top:0;width:612pt;height:11in;z-index:-251657216;mso-position-horizontal:center;mso-position-horizontal-relative:margin;mso-position-vertical:center;mso-position-vertical-relative:margin" o:allowincell="f">
          <v:imagedata r:id="rId1" o:title="AK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29" w:rsidRDefault="00C77029" w:rsidP="0073717A">
    <w:pPr>
      <w:pStyle w:val="Header"/>
      <w:tabs>
        <w:tab w:val="clear" w:pos="9360"/>
        <w:tab w:val="left" w:pos="10800"/>
      </w:tabs>
      <w:ind w:right="-1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29" w:rsidRDefault="00564186" w:rsidP="002F25EE">
    <w:pPr>
      <w:pStyle w:val="Header"/>
      <w:tabs>
        <w:tab w:val="clear" w:pos="9360"/>
        <w:tab w:val="right" w:pos="10800"/>
      </w:tabs>
      <w:ind w:left="-1440" w:righ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3" o:spid="_x0000_s2055" type="#_x0000_t75" style="position:absolute;left:0;text-align:left;margin-left:0;margin-top:0;width:612pt;height:11in;z-index:-251658240;mso-position-horizontal:center;mso-position-horizontal-relative:margin;mso-position-vertical:center;mso-position-vertical-relative:margin" o:allowincell="f">
          <v:imagedata r:id="rId1" o:title="AK Watermark"/>
          <w10:wrap anchorx="margin" anchory="margin"/>
        </v:shape>
      </w:pict>
    </w:r>
    <w:r w:rsidR="00C77029">
      <w:rPr>
        <w:noProof/>
      </w:rPr>
      <w:drawing>
        <wp:inline distT="0" distB="0" distL="0" distR="0" wp14:anchorId="76C64F94" wp14:editId="30E7E491">
          <wp:extent cx="7798003" cy="27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3207" cy="2747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AAE"/>
    <w:multiLevelType w:val="hybridMultilevel"/>
    <w:tmpl w:val="86E6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04"/>
    <w:rsid w:val="00003CD5"/>
    <w:rsid w:val="000602D5"/>
    <w:rsid w:val="0008271B"/>
    <w:rsid w:val="0013295E"/>
    <w:rsid w:val="001B454A"/>
    <w:rsid w:val="002242A2"/>
    <w:rsid w:val="002A0AB0"/>
    <w:rsid w:val="002F12AA"/>
    <w:rsid w:val="002F25EE"/>
    <w:rsid w:val="002F60D9"/>
    <w:rsid w:val="003A3733"/>
    <w:rsid w:val="003E357A"/>
    <w:rsid w:val="0045762A"/>
    <w:rsid w:val="004705F0"/>
    <w:rsid w:val="00544C55"/>
    <w:rsid w:val="00564186"/>
    <w:rsid w:val="005659F8"/>
    <w:rsid w:val="005F176A"/>
    <w:rsid w:val="00657742"/>
    <w:rsid w:val="006676BA"/>
    <w:rsid w:val="0073717A"/>
    <w:rsid w:val="007C03B6"/>
    <w:rsid w:val="007D617B"/>
    <w:rsid w:val="008261C7"/>
    <w:rsid w:val="00863952"/>
    <w:rsid w:val="008A5904"/>
    <w:rsid w:val="008D673E"/>
    <w:rsid w:val="0093291A"/>
    <w:rsid w:val="009D7E0D"/>
    <w:rsid w:val="00A24F74"/>
    <w:rsid w:val="00A41250"/>
    <w:rsid w:val="00A55628"/>
    <w:rsid w:val="00A9793B"/>
    <w:rsid w:val="00A97F10"/>
    <w:rsid w:val="00AA3651"/>
    <w:rsid w:val="00B2722B"/>
    <w:rsid w:val="00B64F77"/>
    <w:rsid w:val="00BE6652"/>
    <w:rsid w:val="00C41EC0"/>
    <w:rsid w:val="00C60276"/>
    <w:rsid w:val="00C77029"/>
    <w:rsid w:val="00CA7F84"/>
    <w:rsid w:val="00CF2B5B"/>
    <w:rsid w:val="00E13F6F"/>
    <w:rsid w:val="00E64B0D"/>
    <w:rsid w:val="00E658AC"/>
    <w:rsid w:val="00ED0EF6"/>
    <w:rsid w:val="00EF0898"/>
    <w:rsid w:val="00F1690E"/>
    <w:rsid w:val="00F7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6A"/>
  </w:style>
  <w:style w:type="paragraph" w:styleId="Footer">
    <w:name w:val="footer"/>
    <w:basedOn w:val="Normal"/>
    <w:link w:val="FooterChar"/>
    <w:uiPriority w:val="99"/>
    <w:unhideWhenUsed/>
    <w:rsid w:val="005F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6A"/>
  </w:style>
  <w:style w:type="paragraph" w:customStyle="1" w:styleId="BasicParagraph">
    <w:name w:val="[Basic Paragraph]"/>
    <w:basedOn w:val="Normal"/>
    <w:uiPriority w:val="99"/>
    <w:rsid w:val="004576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45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2A"/>
    <w:rPr>
      <w:rFonts w:ascii="Tahoma" w:hAnsi="Tahoma" w:cs="Tahoma"/>
      <w:sz w:val="16"/>
      <w:szCs w:val="16"/>
    </w:rPr>
  </w:style>
  <w:style w:type="paragraph" w:styleId="FootnoteText">
    <w:name w:val="footnote text"/>
    <w:basedOn w:val="Normal"/>
    <w:link w:val="FootnoteTextChar"/>
    <w:uiPriority w:val="99"/>
    <w:semiHidden/>
    <w:unhideWhenUsed/>
    <w:rsid w:val="002F2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5EE"/>
    <w:rPr>
      <w:sz w:val="20"/>
      <w:szCs w:val="20"/>
    </w:rPr>
  </w:style>
  <w:style w:type="character" w:styleId="FootnoteReference">
    <w:name w:val="footnote reference"/>
    <w:basedOn w:val="DefaultParagraphFont"/>
    <w:uiPriority w:val="99"/>
    <w:semiHidden/>
    <w:unhideWhenUsed/>
    <w:rsid w:val="002F25EE"/>
    <w:rPr>
      <w:vertAlign w:val="superscript"/>
    </w:rPr>
  </w:style>
  <w:style w:type="character" w:styleId="Hyperlink">
    <w:name w:val="Hyperlink"/>
    <w:basedOn w:val="DefaultParagraphFont"/>
    <w:uiPriority w:val="99"/>
    <w:unhideWhenUsed/>
    <w:rsid w:val="00A97F10"/>
    <w:rPr>
      <w:color w:val="0000FF" w:themeColor="hyperlink"/>
      <w:u w:val="single"/>
    </w:rPr>
  </w:style>
  <w:style w:type="paragraph" w:styleId="ListParagraph">
    <w:name w:val="List Paragraph"/>
    <w:basedOn w:val="Normal"/>
    <w:uiPriority w:val="34"/>
    <w:qFormat/>
    <w:rsid w:val="00A97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6A"/>
  </w:style>
  <w:style w:type="paragraph" w:styleId="Footer">
    <w:name w:val="footer"/>
    <w:basedOn w:val="Normal"/>
    <w:link w:val="FooterChar"/>
    <w:uiPriority w:val="99"/>
    <w:unhideWhenUsed/>
    <w:rsid w:val="005F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6A"/>
  </w:style>
  <w:style w:type="paragraph" w:customStyle="1" w:styleId="BasicParagraph">
    <w:name w:val="[Basic Paragraph]"/>
    <w:basedOn w:val="Normal"/>
    <w:uiPriority w:val="99"/>
    <w:rsid w:val="004576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45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2A"/>
    <w:rPr>
      <w:rFonts w:ascii="Tahoma" w:hAnsi="Tahoma" w:cs="Tahoma"/>
      <w:sz w:val="16"/>
      <w:szCs w:val="16"/>
    </w:rPr>
  </w:style>
  <w:style w:type="paragraph" w:styleId="FootnoteText">
    <w:name w:val="footnote text"/>
    <w:basedOn w:val="Normal"/>
    <w:link w:val="FootnoteTextChar"/>
    <w:uiPriority w:val="99"/>
    <w:semiHidden/>
    <w:unhideWhenUsed/>
    <w:rsid w:val="002F2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5EE"/>
    <w:rPr>
      <w:sz w:val="20"/>
      <w:szCs w:val="20"/>
    </w:rPr>
  </w:style>
  <w:style w:type="character" w:styleId="FootnoteReference">
    <w:name w:val="footnote reference"/>
    <w:basedOn w:val="DefaultParagraphFont"/>
    <w:uiPriority w:val="99"/>
    <w:semiHidden/>
    <w:unhideWhenUsed/>
    <w:rsid w:val="002F25EE"/>
    <w:rPr>
      <w:vertAlign w:val="superscript"/>
    </w:rPr>
  </w:style>
  <w:style w:type="character" w:styleId="Hyperlink">
    <w:name w:val="Hyperlink"/>
    <w:basedOn w:val="DefaultParagraphFont"/>
    <w:uiPriority w:val="99"/>
    <w:unhideWhenUsed/>
    <w:rsid w:val="00A97F10"/>
    <w:rPr>
      <w:color w:val="0000FF" w:themeColor="hyperlink"/>
      <w:u w:val="single"/>
    </w:rPr>
  </w:style>
  <w:style w:type="paragraph" w:styleId="ListParagraph">
    <w:name w:val="List Paragraph"/>
    <w:basedOn w:val="Normal"/>
    <w:uiPriority w:val="34"/>
    <w:qFormat/>
    <w:rsid w:val="00A9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rtgage.nationwidelicensingsystem.org/slr/PublishedStateDocuments/AK-Broker-Lender-Amendment-Checklis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mmerce.alaska.gov/web/dbs/Home.aspx"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mailto:mortgagelending@alask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3033-6B50-415C-BC14-7856BEAE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 Soukup</dc:creator>
  <cp:lastModifiedBy>DCCED User</cp:lastModifiedBy>
  <cp:revision>2</cp:revision>
  <cp:lastPrinted>2016-12-29T00:15:00Z</cp:lastPrinted>
  <dcterms:created xsi:type="dcterms:W3CDTF">2016-12-29T19:18:00Z</dcterms:created>
  <dcterms:modified xsi:type="dcterms:W3CDTF">2016-12-29T19:18:00Z</dcterms:modified>
</cp:coreProperties>
</file>