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3" w:type="dxa"/>
        <w:tblLayout w:type="fixed"/>
        <w:tblCellMar>
          <w:left w:w="115" w:type="dxa"/>
          <w:right w:w="115" w:type="dxa"/>
        </w:tblCellMar>
        <w:tblLook w:val="04A0" w:firstRow="1" w:lastRow="0" w:firstColumn="1" w:lastColumn="0" w:noHBand="0" w:noVBand="1"/>
      </w:tblPr>
      <w:tblGrid>
        <w:gridCol w:w="2275"/>
        <w:gridCol w:w="5457"/>
        <w:gridCol w:w="1871"/>
      </w:tblGrid>
      <w:tr w:rsidR="00C26FD5" w:rsidTr="006C5987">
        <w:trPr>
          <w:trHeight w:val="288"/>
        </w:trPr>
        <w:tc>
          <w:tcPr>
            <w:tcW w:w="2275" w:type="dxa"/>
            <w:tcBorders>
              <w:top w:val="single" w:sz="4" w:space="0" w:color="000000" w:themeColor="text1"/>
              <w:left w:val="double" w:sz="4" w:space="0" w:color="auto"/>
              <w:bottom w:val="double" w:sz="4" w:space="0" w:color="auto"/>
              <w:right w:val="single" w:sz="4" w:space="0" w:color="000000" w:themeColor="text1"/>
            </w:tcBorders>
            <w:vAlign w:val="center"/>
          </w:tcPr>
          <w:p w:rsidR="00C26FD5" w:rsidRPr="008A2C5E" w:rsidRDefault="00C26FD5" w:rsidP="000451E1">
            <w:pPr>
              <w:rPr>
                <w:sz w:val="24"/>
                <w:szCs w:val="24"/>
              </w:rPr>
            </w:pPr>
            <w:bookmarkStart w:id="0" w:name="_GoBack"/>
            <w:bookmarkEnd w:id="0"/>
            <w:r>
              <w:rPr>
                <w:sz w:val="24"/>
                <w:szCs w:val="24"/>
              </w:rPr>
              <w:t>Community Name:</w:t>
            </w:r>
          </w:p>
        </w:tc>
        <w:tc>
          <w:tcPr>
            <w:tcW w:w="7328" w:type="dxa"/>
            <w:gridSpan w:val="2"/>
            <w:tcBorders>
              <w:top w:val="single" w:sz="4" w:space="0" w:color="000000" w:themeColor="text1"/>
              <w:left w:val="single" w:sz="4" w:space="0" w:color="000000" w:themeColor="text1"/>
              <w:bottom w:val="double" w:sz="4" w:space="0" w:color="auto"/>
              <w:right w:val="double" w:sz="4" w:space="0" w:color="auto"/>
            </w:tcBorders>
            <w:vAlign w:val="center"/>
          </w:tcPr>
          <w:p w:rsidR="00C26FD5" w:rsidRPr="008A2C5E" w:rsidRDefault="00A34AB7" w:rsidP="000451E1">
            <w:pPr>
              <w:rPr>
                <w:sz w:val="24"/>
                <w:szCs w:val="24"/>
              </w:rPr>
            </w:pPr>
            <w:r>
              <w:rPr>
                <w:sz w:val="24"/>
                <w:szCs w:val="24"/>
              </w:rPr>
              <w:t>City and Borough of Juneau, Alaska</w:t>
            </w:r>
          </w:p>
        </w:tc>
      </w:tr>
      <w:tr w:rsidR="00C26FD5" w:rsidTr="006C5987">
        <w:trPr>
          <w:trHeight w:val="288"/>
        </w:trPr>
        <w:tc>
          <w:tcPr>
            <w:tcW w:w="2275" w:type="dxa"/>
            <w:tcBorders>
              <w:top w:val="double" w:sz="4" w:space="0" w:color="auto"/>
              <w:left w:val="double" w:sz="4" w:space="0" w:color="auto"/>
              <w:bottom w:val="single" w:sz="4" w:space="0" w:color="000000" w:themeColor="text1"/>
              <w:right w:val="single" w:sz="4" w:space="0" w:color="000000" w:themeColor="text1"/>
            </w:tcBorders>
            <w:vAlign w:val="center"/>
          </w:tcPr>
          <w:p w:rsidR="00C26FD5" w:rsidRPr="008A2C5E" w:rsidRDefault="00C26FD5" w:rsidP="000451E1">
            <w:pPr>
              <w:rPr>
                <w:sz w:val="24"/>
                <w:szCs w:val="24"/>
              </w:rPr>
            </w:pPr>
            <w:r>
              <w:rPr>
                <w:sz w:val="24"/>
                <w:szCs w:val="24"/>
              </w:rPr>
              <w:t>Meeting Date:</w:t>
            </w:r>
          </w:p>
        </w:tc>
        <w:tc>
          <w:tcPr>
            <w:tcW w:w="7328" w:type="dxa"/>
            <w:gridSpan w:val="2"/>
            <w:tcBorders>
              <w:top w:val="double" w:sz="4" w:space="0" w:color="auto"/>
              <w:left w:val="single" w:sz="4" w:space="0" w:color="000000" w:themeColor="text1"/>
              <w:bottom w:val="single" w:sz="4" w:space="0" w:color="000000" w:themeColor="text1"/>
              <w:right w:val="double" w:sz="4" w:space="0" w:color="auto"/>
            </w:tcBorders>
            <w:vAlign w:val="center"/>
          </w:tcPr>
          <w:p w:rsidR="00C26FD5" w:rsidRPr="008A2C5E" w:rsidRDefault="008219E6" w:rsidP="00A34AB7">
            <w:pPr>
              <w:rPr>
                <w:sz w:val="24"/>
                <w:szCs w:val="24"/>
              </w:rPr>
            </w:pPr>
            <w:r>
              <w:rPr>
                <w:sz w:val="24"/>
                <w:szCs w:val="24"/>
              </w:rPr>
              <w:t>0</w:t>
            </w:r>
            <w:r w:rsidR="00A34AB7">
              <w:rPr>
                <w:sz w:val="24"/>
                <w:szCs w:val="24"/>
              </w:rPr>
              <w:t>8</w:t>
            </w:r>
            <w:r w:rsidR="00375288">
              <w:rPr>
                <w:sz w:val="24"/>
                <w:szCs w:val="24"/>
              </w:rPr>
              <w:t>/</w:t>
            </w:r>
            <w:r w:rsidR="00A34AB7">
              <w:rPr>
                <w:sz w:val="24"/>
                <w:szCs w:val="24"/>
              </w:rPr>
              <w:t>3</w:t>
            </w:r>
            <w:r>
              <w:rPr>
                <w:sz w:val="24"/>
                <w:szCs w:val="24"/>
              </w:rPr>
              <w:t>0</w:t>
            </w:r>
            <w:r w:rsidR="00375288">
              <w:rPr>
                <w:sz w:val="24"/>
                <w:szCs w:val="24"/>
              </w:rPr>
              <w:t>/2</w:t>
            </w:r>
            <w:r>
              <w:rPr>
                <w:sz w:val="24"/>
                <w:szCs w:val="24"/>
              </w:rPr>
              <w:t>016</w:t>
            </w:r>
          </w:p>
        </w:tc>
      </w:tr>
      <w:tr w:rsidR="00C26FD5" w:rsidTr="006C5987">
        <w:trPr>
          <w:trHeight w:val="288"/>
        </w:trPr>
        <w:tc>
          <w:tcPr>
            <w:tcW w:w="2275" w:type="dxa"/>
            <w:tcBorders>
              <w:top w:val="single" w:sz="4" w:space="0" w:color="000000" w:themeColor="text1"/>
              <w:left w:val="double" w:sz="4" w:space="0" w:color="auto"/>
              <w:bottom w:val="single" w:sz="4" w:space="0" w:color="000000" w:themeColor="text1"/>
              <w:right w:val="single" w:sz="4" w:space="0" w:color="000000" w:themeColor="text1"/>
            </w:tcBorders>
            <w:vAlign w:val="center"/>
          </w:tcPr>
          <w:p w:rsidR="00C26FD5" w:rsidRPr="008A2C5E" w:rsidRDefault="00C26FD5" w:rsidP="000451E1">
            <w:pPr>
              <w:rPr>
                <w:sz w:val="24"/>
                <w:szCs w:val="24"/>
              </w:rPr>
            </w:pPr>
            <w:r>
              <w:rPr>
                <w:sz w:val="24"/>
                <w:szCs w:val="24"/>
              </w:rPr>
              <w:t>Meeting Time:</w:t>
            </w:r>
          </w:p>
        </w:tc>
        <w:tc>
          <w:tcPr>
            <w:tcW w:w="7328" w:type="dxa"/>
            <w:gridSpan w:val="2"/>
            <w:tcBorders>
              <w:top w:val="single" w:sz="4" w:space="0" w:color="000000" w:themeColor="text1"/>
              <w:left w:val="single" w:sz="4" w:space="0" w:color="000000" w:themeColor="text1"/>
              <w:bottom w:val="single" w:sz="4" w:space="0" w:color="000000" w:themeColor="text1"/>
              <w:right w:val="double" w:sz="4" w:space="0" w:color="auto"/>
            </w:tcBorders>
            <w:vAlign w:val="center"/>
          </w:tcPr>
          <w:p w:rsidR="00C26FD5" w:rsidRPr="008A2C5E" w:rsidRDefault="008219E6" w:rsidP="008219E6">
            <w:pPr>
              <w:rPr>
                <w:sz w:val="24"/>
                <w:szCs w:val="24"/>
              </w:rPr>
            </w:pPr>
            <w:r>
              <w:rPr>
                <w:sz w:val="24"/>
                <w:szCs w:val="24"/>
              </w:rPr>
              <w:t>10</w:t>
            </w:r>
            <w:r w:rsidR="00617260">
              <w:rPr>
                <w:sz w:val="24"/>
                <w:szCs w:val="24"/>
              </w:rPr>
              <w:t>:</w:t>
            </w:r>
            <w:r w:rsidR="00610CE6">
              <w:rPr>
                <w:sz w:val="24"/>
                <w:szCs w:val="24"/>
              </w:rPr>
              <w:t>0</w:t>
            </w:r>
            <w:r>
              <w:rPr>
                <w:sz w:val="24"/>
                <w:szCs w:val="24"/>
              </w:rPr>
              <w:t>0 A</w:t>
            </w:r>
            <w:r w:rsidR="00617260">
              <w:rPr>
                <w:sz w:val="24"/>
                <w:szCs w:val="24"/>
              </w:rPr>
              <w:t>M</w:t>
            </w:r>
            <w:r w:rsidR="00043F84">
              <w:rPr>
                <w:sz w:val="24"/>
                <w:szCs w:val="24"/>
              </w:rPr>
              <w:t xml:space="preserve"> </w:t>
            </w:r>
            <w:r>
              <w:rPr>
                <w:sz w:val="24"/>
                <w:szCs w:val="24"/>
              </w:rPr>
              <w:t>Alaska Standard</w:t>
            </w:r>
            <w:r w:rsidR="00043F84">
              <w:rPr>
                <w:sz w:val="24"/>
                <w:szCs w:val="24"/>
              </w:rPr>
              <w:t xml:space="preserve"> Time</w:t>
            </w:r>
          </w:p>
        </w:tc>
      </w:tr>
      <w:tr w:rsidR="00C26FD5" w:rsidTr="006C5987">
        <w:trPr>
          <w:trHeight w:val="288"/>
        </w:trPr>
        <w:tc>
          <w:tcPr>
            <w:tcW w:w="2275" w:type="dxa"/>
            <w:tcBorders>
              <w:top w:val="single" w:sz="4" w:space="0" w:color="000000" w:themeColor="text1"/>
              <w:left w:val="double" w:sz="4" w:space="0" w:color="auto"/>
              <w:bottom w:val="double" w:sz="4" w:space="0" w:color="auto"/>
              <w:right w:val="single" w:sz="4" w:space="0" w:color="000000" w:themeColor="text1"/>
            </w:tcBorders>
            <w:vAlign w:val="center"/>
          </w:tcPr>
          <w:p w:rsidR="00C26FD5" w:rsidRPr="008A2C5E" w:rsidRDefault="00C26FD5" w:rsidP="000451E1">
            <w:pPr>
              <w:rPr>
                <w:sz w:val="24"/>
                <w:szCs w:val="24"/>
              </w:rPr>
            </w:pPr>
            <w:r>
              <w:rPr>
                <w:sz w:val="24"/>
                <w:szCs w:val="24"/>
              </w:rPr>
              <w:t>Meeting Location:</w:t>
            </w:r>
          </w:p>
        </w:tc>
        <w:tc>
          <w:tcPr>
            <w:tcW w:w="7328" w:type="dxa"/>
            <w:gridSpan w:val="2"/>
            <w:tcBorders>
              <w:top w:val="single" w:sz="4" w:space="0" w:color="000000" w:themeColor="text1"/>
              <w:left w:val="single" w:sz="4" w:space="0" w:color="000000" w:themeColor="text1"/>
              <w:bottom w:val="double" w:sz="4" w:space="0" w:color="auto"/>
              <w:right w:val="double" w:sz="4" w:space="0" w:color="auto"/>
            </w:tcBorders>
            <w:vAlign w:val="center"/>
          </w:tcPr>
          <w:p w:rsidR="00A34AB7" w:rsidRDefault="00A34AB7" w:rsidP="00A34AB7">
            <w:pPr>
              <w:rPr>
                <w:sz w:val="24"/>
                <w:szCs w:val="24"/>
              </w:rPr>
            </w:pPr>
            <w:r>
              <w:rPr>
                <w:sz w:val="24"/>
                <w:szCs w:val="24"/>
              </w:rPr>
              <w:t>Community Development Dept.</w:t>
            </w:r>
          </w:p>
          <w:p w:rsidR="00A34AB7" w:rsidRDefault="00A34AB7" w:rsidP="00A34AB7">
            <w:pPr>
              <w:rPr>
                <w:sz w:val="24"/>
                <w:szCs w:val="24"/>
              </w:rPr>
            </w:pPr>
            <w:r>
              <w:rPr>
                <w:sz w:val="24"/>
                <w:szCs w:val="24"/>
              </w:rPr>
              <w:t>155 South Seward Street</w:t>
            </w:r>
          </w:p>
          <w:p w:rsidR="00C26FD5" w:rsidRPr="008A2C5E" w:rsidRDefault="00A34AB7" w:rsidP="00A34AB7">
            <w:pPr>
              <w:rPr>
                <w:sz w:val="24"/>
                <w:szCs w:val="24"/>
              </w:rPr>
            </w:pPr>
            <w:r w:rsidRPr="00A34AB7">
              <w:rPr>
                <w:sz w:val="24"/>
                <w:szCs w:val="24"/>
              </w:rPr>
              <w:t>Juneau, AK 99801</w:t>
            </w:r>
          </w:p>
        </w:tc>
      </w:tr>
      <w:tr w:rsidR="00C26FD5" w:rsidTr="006C5987">
        <w:trPr>
          <w:trHeight w:val="807"/>
        </w:trPr>
        <w:tc>
          <w:tcPr>
            <w:tcW w:w="2275" w:type="dxa"/>
            <w:tcBorders>
              <w:top w:val="double" w:sz="4" w:space="0" w:color="auto"/>
              <w:left w:val="double" w:sz="4" w:space="0" w:color="auto"/>
              <w:bottom w:val="double" w:sz="4" w:space="0" w:color="auto"/>
              <w:right w:val="single" w:sz="4" w:space="0" w:color="000000" w:themeColor="text1"/>
            </w:tcBorders>
            <w:vAlign w:val="center"/>
          </w:tcPr>
          <w:p w:rsidR="00C26FD5" w:rsidRDefault="00C26FD5" w:rsidP="000451E1">
            <w:pPr>
              <w:rPr>
                <w:sz w:val="24"/>
                <w:szCs w:val="24"/>
              </w:rPr>
            </w:pPr>
            <w:r>
              <w:rPr>
                <w:sz w:val="24"/>
                <w:szCs w:val="24"/>
              </w:rPr>
              <w:t>Attendees:</w:t>
            </w:r>
          </w:p>
        </w:tc>
        <w:tc>
          <w:tcPr>
            <w:tcW w:w="7328" w:type="dxa"/>
            <w:gridSpan w:val="2"/>
            <w:tcBorders>
              <w:top w:val="double" w:sz="4" w:space="0" w:color="auto"/>
              <w:left w:val="single" w:sz="4" w:space="0" w:color="000000" w:themeColor="text1"/>
              <w:bottom w:val="double" w:sz="4" w:space="0" w:color="auto"/>
              <w:right w:val="double" w:sz="4" w:space="0" w:color="auto"/>
            </w:tcBorders>
            <w:vAlign w:val="center"/>
          </w:tcPr>
          <w:p w:rsidR="00946872" w:rsidRPr="00C1268A" w:rsidRDefault="00A34AB7" w:rsidP="00015560">
            <w:pPr>
              <w:rPr>
                <w:b/>
                <w:sz w:val="24"/>
                <w:szCs w:val="24"/>
              </w:rPr>
            </w:pPr>
            <w:r w:rsidRPr="00A34AB7">
              <w:rPr>
                <w:b/>
                <w:sz w:val="24"/>
                <w:szCs w:val="24"/>
              </w:rPr>
              <w:t>City and Borough of Juneau</w:t>
            </w:r>
          </w:p>
          <w:p w:rsidR="00043F84" w:rsidRDefault="00470B15" w:rsidP="00015560">
            <w:pPr>
              <w:rPr>
                <w:sz w:val="24"/>
                <w:szCs w:val="24"/>
              </w:rPr>
            </w:pPr>
            <w:r>
              <w:rPr>
                <w:sz w:val="24"/>
                <w:szCs w:val="24"/>
              </w:rPr>
              <w:t>Eric Feldt</w:t>
            </w:r>
            <w:r w:rsidR="006D150B">
              <w:rPr>
                <w:sz w:val="24"/>
                <w:szCs w:val="24"/>
              </w:rPr>
              <w:t xml:space="preserve">, </w:t>
            </w:r>
            <w:r w:rsidR="00A33D0C">
              <w:rPr>
                <w:sz w:val="24"/>
                <w:szCs w:val="24"/>
              </w:rPr>
              <w:t xml:space="preserve">Floodplain Administrator, </w:t>
            </w:r>
            <w:r w:rsidR="00A33D0C" w:rsidRPr="00A33D0C">
              <w:rPr>
                <w:sz w:val="24"/>
                <w:szCs w:val="24"/>
              </w:rPr>
              <w:t>Community Development Dept.</w:t>
            </w:r>
          </w:p>
          <w:p w:rsidR="00EB040D" w:rsidRDefault="00EB040D" w:rsidP="00015560">
            <w:pPr>
              <w:rPr>
                <w:sz w:val="24"/>
                <w:szCs w:val="24"/>
              </w:rPr>
            </w:pPr>
            <w:r>
              <w:rPr>
                <w:sz w:val="24"/>
                <w:szCs w:val="24"/>
              </w:rPr>
              <w:t xml:space="preserve">Rob </w:t>
            </w:r>
            <w:r w:rsidRPr="006C5987">
              <w:rPr>
                <w:sz w:val="24"/>
                <w:szCs w:val="24"/>
              </w:rPr>
              <w:t>Steedle</w:t>
            </w:r>
            <w:r>
              <w:rPr>
                <w:sz w:val="24"/>
                <w:szCs w:val="24"/>
              </w:rPr>
              <w:t xml:space="preserve">, </w:t>
            </w:r>
            <w:r w:rsidRPr="00A33D0C">
              <w:rPr>
                <w:sz w:val="24"/>
                <w:szCs w:val="24"/>
              </w:rPr>
              <w:t>Community Development Dept.</w:t>
            </w:r>
          </w:p>
          <w:p w:rsidR="0084223A" w:rsidRDefault="0084223A" w:rsidP="00015560">
            <w:pPr>
              <w:rPr>
                <w:sz w:val="24"/>
                <w:szCs w:val="24"/>
              </w:rPr>
            </w:pPr>
            <w:r>
              <w:rPr>
                <w:sz w:val="24"/>
                <w:szCs w:val="24"/>
              </w:rPr>
              <w:t xml:space="preserve">Jonathan Lange, </w:t>
            </w:r>
            <w:r w:rsidRPr="00A33D0C">
              <w:rPr>
                <w:sz w:val="24"/>
                <w:szCs w:val="24"/>
              </w:rPr>
              <w:t>Community Development Dept.</w:t>
            </w:r>
          </w:p>
          <w:p w:rsidR="0084223A" w:rsidRDefault="0084223A" w:rsidP="00015560">
            <w:pPr>
              <w:rPr>
                <w:sz w:val="24"/>
                <w:szCs w:val="24"/>
              </w:rPr>
            </w:pPr>
            <w:r>
              <w:rPr>
                <w:sz w:val="24"/>
                <w:szCs w:val="24"/>
              </w:rPr>
              <w:t xml:space="preserve">Beth McKibben, </w:t>
            </w:r>
            <w:r w:rsidRPr="00A33D0C">
              <w:rPr>
                <w:sz w:val="24"/>
                <w:szCs w:val="24"/>
              </w:rPr>
              <w:t>Community Development Dept.</w:t>
            </w:r>
          </w:p>
          <w:p w:rsidR="0084223A" w:rsidRDefault="0084223A" w:rsidP="00015560">
            <w:pPr>
              <w:rPr>
                <w:sz w:val="24"/>
                <w:szCs w:val="24"/>
              </w:rPr>
            </w:pPr>
            <w:r>
              <w:rPr>
                <w:sz w:val="24"/>
                <w:szCs w:val="24"/>
              </w:rPr>
              <w:t>Greg Chaney, CBJ Lands Division</w:t>
            </w:r>
          </w:p>
          <w:p w:rsidR="0084223A" w:rsidRDefault="0084223A" w:rsidP="00015560">
            <w:pPr>
              <w:rPr>
                <w:sz w:val="24"/>
                <w:szCs w:val="24"/>
              </w:rPr>
            </w:pPr>
            <w:r>
              <w:rPr>
                <w:sz w:val="24"/>
                <w:szCs w:val="24"/>
              </w:rPr>
              <w:t>Roger Head, CBJ E &amp; PW</w:t>
            </w:r>
          </w:p>
          <w:p w:rsidR="0014452D" w:rsidRDefault="00A33D0C" w:rsidP="00015560">
            <w:pPr>
              <w:rPr>
                <w:sz w:val="24"/>
                <w:szCs w:val="24"/>
              </w:rPr>
            </w:pPr>
            <w:r>
              <w:rPr>
                <w:sz w:val="24"/>
                <w:szCs w:val="24"/>
              </w:rPr>
              <w:t>Brent Fischer</w:t>
            </w:r>
            <w:r w:rsidR="006D150B">
              <w:rPr>
                <w:sz w:val="24"/>
                <w:szCs w:val="24"/>
              </w:rPr>
              <w:t xml:space="preserve">, </w:t>
            </w:r>
            <w:r>
              <w:rPr>
                <w:sz w:val="24"/>
                <w:szCs w:val="24"/>
              </w:rPr>
              <w:t>CBJ Parks &amp; Rec.</w:t>
            </w:r>
          </w:p>
          <w:p w:rsidR="0014452D" w:rsidRDefault="00EB040D" w:rsidP="00015560">
            <w:pPr>
              <w:rPr>
                <w:sz w:val="24"/>
                <w:szCs w:val="24"/>
              </w:rPr>
            </w:pPr>
            <w:r>
              <w:rPr>
                <w:sz w:val="24"/>
                <w:szCs w:val="24"/>
              </w:rPr>
              <w:t xml:space="preserve">Erich </w:t>
            </w:r>
            <w:r w:rsidRPr="005E7081">
              <w:rPr>
                <w:sz w:val="24"/>
                <w:szCs w:val="24"/>
              </w:rPr>
              <w:t>Sch</w:t>
            </w:r>
            <w:r w:rsidR="005E7081" w:rsidRPr="005E7081">
              <w:rPr>
                <w:sz w:val="24"/>
                <w:szCs w:val="24"/>
              </w:rPr>
              <w:t>a</w:t>
            </w:r>
            <w:r w:rsidRPr="005E7081">
              <w:rPr>
                <w:sz w:val="24"/>
                <w:szCs w:val="24"/>
              </w:rPr>
              <w:t>al</w:t>
            </w:r>
            <w:r w:rsidR="006D150B">
              <w:rPr>
                <w:sz w:val="24"/>
                <w:szCs w:val="24"/>
              </w:rPr>
              <w:t xml:space="preserve">, </w:t>
            </w:r>
            <w:r>
              <w:rPr>
                <w:sz w:val="24"/>
                <w:szCs w:val="24"/>
              </w:rPr>
              <w:t>CBJ Docks &amp; Harbor</w:t>
            </w:r>
            <w:r w:rsidR="005A274A">
              <w:rPr>
                <w:sz w:val="24"/>
                <w:szCs w:val="24"/>
              </w:rPr>
              <w:t>s</w:t>
            </w:r>
          </w:p>
          <w:p w:rsidR="005A274A" w:rsidRDefault="005A274A" w:rsidP="00015560">
            <w:pPr>
              <w:rPr>
                <w:sz w:val="24"/>
                <w:szCs w:val="24"/>
              </w:rPr>
            </w:pPr>
            <w:r>
              <w:rPr>
                <w:sz w:val="24"/>
                <w:szCs w:val="24"/>
              </w:rPr>
              <w:t xml:space="preserve">Carl </w:t>
            </w:r>
            <w:r w:rsidR="00F02ED6" w:rsidRPr="00F02ED6">
              <w:rPr>
                <w:sz w:val="24"/>
                <w:szCs w:val="24"/>
              </w:rPr>
              <w:t>Uchytil</w:t>
            </w:r>
            <w:r>
              <w:rPr>
                <w:sz w:val="24"/>
                <w:szCs w:val="24"/>
              </w:rPr>
              <w:t>, CBJ Docks &amp; Harbors</w:t>
            </w:r>
          </w:p>
          <w:p w:rsidR="0014452D" w:rsidRPr="00C1268A" w:rsidRDefault="0084223A" w:rsidP="00015560">
            <w:pPr>
              <w:rPr>
                <w:sz w:val="24"/>
                <w:szCs w:val="24"/>
              </w:rPr>
            </w:pPr>
            <w:r>
              <w:rPr>
                <w:sz w:val="24"/>
                <w:szCs w:val="24"/>
              </w:rPr>
              <w:t xml:space="preserve">Tom </w:t>
            </w:r>
            <w:r w:rsidRPr="007A1AB3">
              <w:rPr>
                <w:sz w:val="24"/>
                <w:szCs w:val="24"/>
              </w:rPr>
              <w:t>Mattice</w:t>
            </w:r>
            <w:r>
              <w:rPr>
                <w:sz w:val="24"/>
                <w:szCs w:val="24"/>
              </w:rPr>
              <w:t>, CBJ Emergency Programs</w:t>
            </w:r>
          </w:p>
          <w:p w:rsidR="00946872" w:rsidRPr="00C1268A" w:rsidRDefault="00946872" w:rsidP="00015560">
            <w:pPr>
              <w:rPr>
                <w:sz w:val="24"/>
                <w:szCs w:val="24"/>
              </w:rPr>
            </w:pPr>
          </w:p>
          <w:p w:rsidR="00946872" w:rsidRPr="00C1268A" w:rsidRDefault="008219E6" w:rsidP="00946872">
            <w:pPr>
              <w:rPr>
                <w:b/>
                <w:sz w:val="24"/>
                <w:szCs w:val="24"/>
              </w:rPr>
            </w:pPr>
            <w:r>
              <w:rPr>
                <w:b/>
                <w:sz w:val="24"/>
                <w:szCs w:val="24"/>
              </w:rPr>
              <w:t>State of Alaska</w:t>
            </w:r>
          </w:p>
          <w:p w:rsidR="00946872" w:rsidRDefault="00584C8E" w:rsidP="00946872">
            <w:pPr>
              <w:rPr>
                <w:sz w:val="24"/>
                <w:szCs w:val="24"/>
              </w:rPr>
            </w:pPr>
            <w:r>
              <w:rPr>
                <w:sz w:val="24"/>
                <w:szCs w:val="24"/>
              </w:rPr>
              <w:t>Sally Cox</w:t>
            </w:r>
            <w:r w:rsidR="001C0525">
              <w:rPr>
                <w:sz w:val="24"/>
                <w:szCs w:val="24"/>
              </w:rPr>
              <w:t>, Risk MAP Coordinator</w:t>
            </w:r>
          </w:p>
          <w:p w:rsidR="00584C8E" w:rsidRPr="00C1268A" w:rsidRDefault="00584C8E" w:rsidP="00946872">
            <w:pPr>
              <w:rPr>
                <w:sz w:val="24"/>
                <w:szCs w:val="24"/>
              </w:rPr>
            </w:pPr>
          </w:p>
          <w:p w:rsidR="00946872" w:rsidRPr="00C1268A" w:rsidRDefault="00946872" w:rsidP="00946872">
            <w:pPr>
              <w:rPr>
                <w:b/>
                <w:sz w:val="24"/>
                <w:szCs w:val="24"/>
              </w:rPr>
            </w:pPr>
            <w:r w:rsidRPr="00C1268A">
              <w:rPr>
                <w:b/>
                <w:sz w:val="24"/>
                <w:szCs w:val="24"/>
              </w:rPr>
              <w:t>FEMA</w:t>
            </w:r>
            <w:r w:rsidR="00A34AB7">
              <w:rPr>
                <w:b/>
                <w:sz w:val="24"/>
                <w:szCs w:val="24"/>
              </w:rPr>
              <w:t xml:space="preserve"> Region X</w:t>
            </w:r>
          </w:p>
          <w:p w:rsidR="00946872" w:rsidRDefault="008219E6" w:rsidP="00946872">
            <w:pPr>
              <w:rPr>
                <w:sz w:val="24"/>
                <w:szCs w:val="24"/>
              </w:rPr>
            </w:pPr>
            <w:r>
              <w:rPr>
                <w:sz w:val="24"/>
                <w:szCs w:val="24"/>
              </w:rPr>
              <w:t>Dwight (Ted) Perkins</w:t>
            </w:r>
            <w:r w:rsidR="00946872" w:rsidRPr="00C1268A">
              <w:rPr>
                <w:sz w:val="24"/>
                <w:szCs w:val="24"/>
              </w:rPr>
              <w:t xml:space="preserve">, </w:t>
            </w:r>
            <w:r w:rsidR="00A34AB7">
              <w:rPr>
                <w:sz w:val="24"/>
                <w:szCs w:val="24"/>
              </w:rPr>
              <w:t>Regional Engineer</w:t>
            </w:r>
          </w:p>
          <w:p w:rsidR="008219E6" w:rsidRPr="00C1268A" w:rsidRDefault="008219E6" w:rsidP="00946872">
            <w:pPr>
              <w:rPr>
                <w:sz w:val="24"/>
                <w:szCs w:val="24"/>
              </w:rPr>
            </w:pPr>
            <w:r>
              <w:rPr>
                <w:sz w:val="24"/>
                <w:szCs w:val="24"/>
              </w:rPr>
              <w:t>Amanda S</w:t>
            </w:r>
            <w:r w:rsidR="00A34AB7">
              <w:rPr>
                <w:sz w:val="24"/>
                <w:szCs w:val="24"/>
              </w:rPr>
              <w:t>iok, Risk/GIS Analyst</w:t>
            </w:r>
          </w:p>
          <w:p w:rsidR="007A304C" w:rsidRPr="00C1268A" w:rsidRDefault="008219E6" w:rsidP="00946872">
            <w:pPr>
              <w:rPr>
                <w:sz w:val="24"/>
                <w:szCs w:val="24"/>
              </w:rPr>
            </w:pPr>
            <w:r>
              <w:rPr>
                <w:sz w:val="24"/>
                <w:szCs w:val="24"/>
              </w:rPr>
              <w:t>Karen Wood-McGuiness</w:t>
            </w:r>
            <w:r w:rsidR="007A304C" w:rsidRPr="00C1268A">
              <w:rPr>
                <w:sz w:val="24"/>
                <w:szCs w:val="24"/>
              </w:rPr>
              <w:t xml:space="preserve">, </w:t>
            </w:r>
            <w:r w:rsidR="00A34AB7">
              <w:rPr>
                <w:sz w:val="24"/>
                <w:szCs w:val="24"/>
              </w:rPr>
              <w:t>Floodplain Management Specialist</w:t>
            </w:r>
          </w:p>
          <w:p w:rsidR="00946872" w:rsidRPr="00C1268A" w:rsidRDefault="00946872" w:rsidP="00015560">
            <w:pPr>
              <w:rPr>
                <w:sz w:val="24"/>
                <w:szCs w:val="24"/>
              </w:rPr>
            </w:pPr>
          </w:p>
          <w:p w:rsidR="00946872" w:rsidRPr="00C1268A" w:rsidRDefault="00946872" w:rsidP="00015560">
            <w:pPr>
              <w:rPr>
                <w:b/>
                <w:sz w:val="24"/>
                <w:szCs w:val="24"/>
              </w:rPr>
            </w:pPr>
            <w:r w:rsidRPr="00C1268A">
              <w:rPr>
                <w:b/>
                <w:sz w:val="24"/>
                <w:szCs w:val="24"/>
              </w:rPr>
              <w:t>STARR</w:t>
            </w:r>
          </w:p>
          <w:p w:rsidR="007A304C" w:rsidRPr="00C1268A" w:rsidRDefault="008219E6" w:rsidP="00015560">
            <w:pPr>
              <w:rPr>
                <w:sz w:val="24"/>
                <w:szCs w:val="24"/>
              </w:rPr>
            </w:pPr>
            <w:r>
              <w:rPr>
                <w:sz w:val="24"/>
                <w:szCs w:val="24"/>
              </w:rPr>
              <w:t>Emily Whitehead</w:t>
            </w:r>
            <w:r w:rsidR="007A304C" w:rsidRPr="00C1268A">
              <w:rPr>
                <w:sz w:val="24"/>
                <w:szCs w:val="24"/>
              </w:rPr>
              <w:t>, Project Manager</w:t>
            </w:r>
          </w:p>
          <w:p w:rsidR="00043F84" w:rsidRDefault="008219E6" w:rsidP="00015560">
            <w:pPr>
              <w:rPr>
                <w:sz w:val="24"/>
                <w:szCs w:val="24"/>
              </w:rPr>
            </w:pPr>
            <w:r>
              <w:rPr>
                <w:sz w:val="24"/>
                <w:szCs w:val="24"/>
              </w:rPr>
              <w:t>Josha Crowley, Regional Service Center Lead</w:t>
            </w:r>
            <w:r w:rsidR="008B46A6" w:rsidRPr="00C1268A">
              <w:rPr>
                <w:sz w:val="24"/>
                <w:szCs w:val="24"/>
              </w:rPr>
              <w:t xml:space="preserve">, </w:t>
            </w:r>
            <w:r w:rsidR="007A304C" w:rsidRPr="00C1268A">
              <w:rPr>
                <w:sz w:val="24"/>
                <w:szCs w:val="24"/>
              </w:rPr>
              <w:t>Engineer</w:t>
            </w:r>
          </w:p>
          <w:p w:rsidR="00043F84" w:rsidRPr="008A2C5E" w:rsidRDefault="00043F84" w:rsidP="00015560">
            <w:pPr>
              <w:rPr>
                <w:sz w:val="24"/>
                <w:szCs w:val="24"/>
              </w:rPr>
            </w:pPr>
          </w:p>
        </w:tc>
      </w:tr>
      <w:tr w:rsidR="00C26FD5" w:rsidTr="000451E1">
        <w:tc>
          <w:tcPr>
            <w:tcW w:w="7732" w:type="dxa"/>
            <w:gridSpan w:val="2"/>
            <w:tcBorders>
              <w:top w:val="double" w:sz="4" w:space="0" w:color="auto"/>
              <w:left w:val="nil"/>
              <w:bottom w:val="double" w:sz="4" w:space="0" w:color="auto"/>
              <w:right w:val="nil"/>
            </w:tcBorders>
          </w:tcPr>
          <w:p w:rsidR="00C26FD5" w:rsidRPr="008A2C5E" w:rsidRDefault="00C26FD5">
            <w:pPr>
              <w:rPr>
                <w:sz w:val="24"/>
                <w:szCs w:val="24"/>
              </w:rPr>
            </w:pPr>
          </w:p>
        </w:tc>
        <w:tc>
          <w:tcPr>
            <w:tcW w:w="1871" w:type="dxa"/>
            <w:tcBorders>
              <w:top w:val="double" w:sz="4" w:space="0" w:color="auto"/>
              <w:left w:val="nil"/>
              <w:bottom w:val="double" w:sz="4" w:space="0" w:color="auto"/>
              <w:right w:val="nil"/>
            </w:tcBorders>
          </w:tcPr>
          <w:p w:rsidR="00C26FD5" w:rsidRPr="008A2C5E" w:rsidRDefault="00C26FD5">
            <w:pPr>
              <w:rPr>
                <w:sz w:val="24"/>
                <w:szCs w:val="24"/>
              </w:rPr>
            </w:pPr>
          </w:p>
        </w:tc>
      </w:tr>
      <w:tr w:rsidR="00C26FD5" w:rsidTr="00092BD5">
        <w:trPr>
          <w:trHeight w:val="2160"/>
        </w:trPr>
        <w:tc>
          <w:tcPr>
            <w:tcW w:w="9603" w:type="dxa"/>
            <w:gridSpan w:val="3"/>
            <w:tcBorders>
              <w:top w:val="double" w:sz="4" w:space="0" w:color="auto"/>
              <w:left w:val="double" w:sz="4" w:space="0" w:color="auto"/>
              <w:right w:val="double" w:sz="4" w:space="0" w:color="auto"/>
            </w:tcBorders>
          </w:tcPr>
          <w:p w:rsidR="00C26FD5" w:rsidRDefault="00173ADC" w:rsidP="00F1183E">
            <w:pPr>
              <w:rPr>
                <w:sz w:val="24"/>
                <w:szCs w:val="24"/>
              </w:rPr>
            </w:pPr>
            <w:r>
              <w:rPr>
                <w:sz w:val="24"/>
                <w:szCs w:val="24"/>
              </w:rPr>
              <w:lastRenderedPageBreak/>
              <w:t>Meeting Notes</w:t>
            </w:r>
            <w:r w:rsidR="00C26FD5">
              <w:rPr>
                <w:sz w:val="24"/>
                <w:szCs w:val="24"/>
              </w:rPr>
              <w:t>:</w:t>
            </w:r>
          </w:p>
          <w:p w:rsidR="00286D8D" w:rsidRPr="001C140E" w:rsidRDefault="00C1268A" w:rsidP="00C26FD5">
            <w:pPr>
              <w:pStyle w:val="ListParagraph"/>
              <w:numPr>
                <w:ilvl w:val="0"/>
                <w:numId w:val="1"/>
              </w:numPr>
            </w:pPr>
            <w:r>
              <w:t>Meeting Introduction</w:t>
            </w:r>
          </w:p>
          <w:p w:rsidR="006B18D3" w:rsidRDefault="006B18D3" w:rsidP="00286D8D">
            <w:pPr>
              <w:pStyle w:val="ListParagraph"/>
              <w:numPr>
                <w:ilvl w:val="0"/>
                <w:numId w:val="2"/>
              </w:numPr>
            </w:pPr>
            <w:r>
              <w:t>Eric Feldt opened the meeting by welcoming attendees and discussing the meeting objectives.</w:t>
            </w:r>
          </w:p>
          <w:p w:rsidR="00C1268A" w:rsidRDefault="006540BD" w:rsidP="006B18D3">
            <w:pPr>
              <w:pStyle w:val="ListParagraph"/>
              <w:numPr>
                <w:ilvl w:val="0"/>
                <w:numId w:val="2"/>
              </w:numPr>
            </w:pPr>
            <w:r>
              <w:t>Ted Perkins</w:t>
            </w:r>
            <w:r w:rsidR="00C1268A">
              <w:t xml:space="preserve"> </w:t>
            </w:r>
            <w:r w:rsidR="006B18D3">
              <w:t xml:space="preserve">initiated introductions around the meeting room.  </w:t>
            </w:r>
            <w:r w:rsidR="00FB119F">
              <w:t xml:space="preserve">Each attendee introduced themselves.  There were representatives from </w:t>
            </w:r>
            <w:r w:rsidR="006B18D3">
              <w:t>City and</w:t>
            </w:r>
            <w:r>
              <w:t xml:space="preserve"> Borough</w:t>
            </w:r>
            <w:r w:rsidR="006B18D3">
              <w:t xml:space="preserve"> of Juneau</w:t>
            </w:r>
            <w:r>
              <w:t xml:space="preserve"> (</w:t>
            </w:r>
            <w:r w:rsidR="006B18D3">
              <w:t>CBJ</w:t>
            </w:r>
            <w:r>
              <w:t>)</w:t>
            </w:r>
            <w:r w:rsidR="00FB119F">
              <w:t xml:space="preserve">, </w:t>
            </w:r>
            <w:r>
              <w:t>State of Alaska</w:t>
            </w:r>
            <w:r w:rsidR="000257F3">
              <w:t xml:space="preserve">, FEMA, and </w:t>
            </w:r>
            <w:r w:rsidR="00FB119F">
              <w:t>S</w:t>
            </w:r>
            <w:r w:rsidR="000257F3">
              <w:t>trategic Alliance for Risk Reduction (S</w:t>
            </w:r>
            <w:r w:rsidR="00FB119F">
              <w:t>TARR</w:t>
            </w:r>
            <w:r w:rsidR="000257F3">
              <w:t>, FEMA’s contractor for this study)</w:t>
            </w:r>
            <w:r w:rsidR="00FB119F">
              <w:t xml:space="preserve">.  </w:t>
            </w:r>
            <w:r w:rsidR="00712757" w:rsidRPr="00712757">
              <w:t>The sign-in sheet</w:t>
            </w:r>
            <w:r>
              <w:t xml:space="preserve"> (2 pages)</w:t>
            </w:r>
            <w:r w:rsidR="00712757" w:rsidRPr="00712757">
              <w:t xml:space="preserve"> is included as Attachment A to the minutes.  </w:t>
            </w:r>
          </w:p>
          <w:p w:rsidR="00286D8D" w:rsidRDefault="00FB119F" w:rsidP="00286D8D">
            <w:pPr>
              <w:pStyle w:val="ListParagraph"/>
              <w:numPr>
                <w:ilvl w:val="0"/>
                <w:numId w:val="1"/>
              </w:numPr>
            </w:pPr>
            <w:r>
              <w:t>Flood Risk Review Meeting Pow</w:t>
            </w:r>
            <w:r w:rsidR="00704839">
              <w:t xml:space="preserve">erPoint </w:t>
            </w:r>
            <w:r w:rsidR="00D506E0">
              <w:t>Presentation</w:t>
            </w:r>
            <w:r w:rsidR="00704839">
              <w:t>-</w:t>
            </w:r>
            <w:r>
              <w:t xml:space="preserve"> Introduction</w:t>
            </w:r>
          </w:p>
          <w:p w:rsidR="00286D8D" w:rsidRDefault="006540BD" w:rsidP="00286D8D">
            <w:pPr>
              <w:pStyle w:val="ListParagraph"/>
              <w:numPr>
                <w:ilvl w:val="0"/>
                <w:numId w:val="5"/>
              </w:numPr>
            </w:pPr>
            <w:r>
              <w:t>Ted Perkins</w:t>
            </w:r>
            <w:r w:rsidR="00704839">
              <w:t>, the Regional Engineer</w:t>
            </w:r>
            <w:r w:rsidR="00FB119F">
              <w:t xml:space="preserve"> with FEMA</w:t>
            </w:r>
            <w:r w:rsidR="00704839">
              <w:t>,</w:t>
            </w:r>
            <w:r w:rsidR="00FB119F">
              <w:t xml:space="preserve"> led the PowerPoint presentation and discussed meeting objectives.  The goal of the meeting was to obtain feedback on the draft floodplain</w:t>
            </w:r>
            <w:r w:rsidR="00504231">
              <w:t xml:space="preserve"> mapping</w:t>
            </w:r>
            <w:r w:rsidR="00FB119F">
              <w:t xml:space="preserve"> before the preliminary map products are produced.    </w:t>
            </w:r>
          </w:p>
          <w:p w:rsidR="00D738EB" w:rsidRDefault="00704839" w:rsidP="00286D8D">
            <w:pPr>
              <w:pStyle w:val="ListParagraph"/>
              <w:numPr>
                <w:ilvl w:val="0"/>
                <w:numId w:val="5"/>
              </w:numPr>
            </w:pPr>
            <w:r>
              <w:t xml:space="preserve">There are three disciplines in the NFIP:  Mapping, Regulations, and Insurance.  The focus of the meeting is mapping.  </w:t>
            </w:r>
            <w:r w:rsidR="006540BD">
              <w:t>Ted</w:t>
            </w:r>
            <w:r>
              <w:t xml:space="preserve"> stated that insurance will be more of a focus at the CCO meeting</w:t>
            </w:r>
            <w:r w:rsidR="00503AB0">
              <w:t>,</w:t>
            </w:r>
            <w:r>
              <w:t xml:space="preserve"> which will occur later.  </w:t>
            </w:r>
          </w:p>
          <w:p w:rsidR="00F87C3E" w:rsidRDefault="006540BD" w:rsidP="00286D8D">
            <w:pPr>
              <w:pStyle w:val="ListParagraph"/>
              <w:numPr>
                <w:ilvl w:val="0"/>
                <w:numId w:val="5"/>
              </w:numPr>
            </w:pPr>
            <w:r>
              <w:t>Ted</w:t>
            </w:r>
            <w:r w:rsidR="00704839">
              <w:t xml:space="preserve"> discuss</w:t>
            </w:r>
            <w:r w:rsidR="0049295B">
              <w:t>ed</w:t>
            </w:r>
            <w:r w:rsidR="00704839">
              <w:t xml:space="preserve"> the project background including previous meeting</w:t>
            </w:r>
            <w:r w:rsidR="0049295B">
              <w:t>s</w:t>
            </w:r>
            <w:r w:rsidR="00704839">
              <w:t xml:space="preserve"> that have been held.  The </w:t>
            </w:r>
            <w:r>
              <w:t>Discovery</w:t>
            </w:r>
            <w:r w:rsidR="00704839">
              <w:t xml:space="preserve"> meeting </w:t>
            </w:r>
            <w:r w:rsidR="002E6651">
              <w:t>was</w:t>
            </w:r>
            <w:r w:rsidR="00704839">
              <w:t xml:space="preserve"> held </w:t>
            </w:r>
            <w:r w:rsidR="002E6651">
              <w:t>on September 26</w:t>
            </w:r>
            <w:r>
              <w:t xml:space="preserve">, 2013.  Draft workmaps and flood hazard data </w:t>
            </w:r>
            <w:r w:rsidR="000839B1">
              <w:t>were provided on May 18, 2016</w:t>
            </w:r>
            <w:r>
              <w:t>.</w:t>
            </w:r>
          </w:p>
          <w:p w:rsidR="00F87C3E" w:rsidRDefault="00704839" w:rsidP="00F87C3E">
            <w:pPr>
              <w:pStyle w:val="ListParagraph"/>
              <w:numPr>
                <w:ilvl w:val="0"/>
                <w:numId w:val="1"/>
              </w:numPr>
            </w:pPr>
            <w:r>
              <w:t xml:space="preserve">Discussion of Study Scope of Work and Special Conditions </w:t>
            </w:r>
          </w:p>
          <w:p w:rsidR="001366C2" w:rsidRDefault="006540BD" w:rsidP="006540BD">
            <w:pPr>
              <w:pStyle w:val="ListParagraph"/>
              <w:numPr>
                <w:ilvl w:val="0"/>
                <w:numId w:val="5"/>
              </w:numPr>
            </w:pPr>
            <w:r>
              <w:t>Josha Crowley, Regional Service Center Lead and Engineer with STARR,</w:t>
            </w:r>
            <w:r w:rsidR="001366C2">
              <w:t xml:space="preserve"> discussed the labeling on the draft workmaps (both coastal and riverine study areas).</w:t>
            </w:r>
          </w:p>
          <w:p w:rsidR="00F426FA" w:rsidRDefault="000E3FB5" w:rsidP="006540BD">
            <w:pPr>
              <w:pStyle w:val="ListParagraph"/>
              <w:numPr>
                <w:ilvl w:val="0"/>
                <w:numId w:val="5"/>
              </w:numPr>
            </w:pPr>
            <w:r>
              <w:t>Josha provided a summary of the coastal analysis/methodology performed for this draft flood study.</w:t>
            </w:r>
            <w:r w:rsidR="006540BD">
              <w:t xml:space="preserve"> </w:t>
            </w:r>
          </w:p>
          <w:p w:rsidR="000E3FB5" w:rsidRDefault="002062CC" w:rsidP="006540BD">
            <w:pPr>
              <w:pStyle w:val="ListParagraph"/>
              <w:numPr>
                <w:ilvl w:val="0"/>
                <w:numId w:val="5"/>
              </w:numPr>
            </w:pPr>
            <w:r>
              <w:t>During Discovery, CBJ mentioned the following coastal</w:t>
            </w:r>
            <w:r w:rsidR="000E3FB5">
              <w:t xml:space="preserve"> areas of concern:</w:t>
            </w:r>
          </w:p>
          <w:p w:rsidR="000E3FB5" w:rsidRDefault="000E3FB5" w:rsidP="000E3FB5">
            <w:pPr>
              <w:pStyle w:val="ListParagraph"/>
              <w:numPr>
                <w:ilvl w:val="0"/>
                <w:numId w:val="13"/>
              </w:numPr>
            </w:pPr>
            <w:r w:rsidRPr="000E3FB5">
              <w:t>Auke Bay (P</w:t>
            </w:r>
            <w:r w:rsidR="002062CC">
              <w:t>t. Lena to Mendenhall Peninsula</w:t>
            </w:r>
            <w:r>
              <w:t xml:space="preserve">; </w:t>
            </w:r>
            <w:r w:rsidRPr="000E3FB5">
              <w:t>15 miles of shoreline</w:t>
            </w:r>
            <w:r>
              <w:t xml:space="preserve"> &amp; </w:t>
            </w:r>
            <w:r w:rsidRPr="000E3FB5">
              <w:t>296 coastal transects</w:t>
            </w:r>
            <w:r w:rsidR="002062CC">
              <w:t>)</w:t>
            </w:r>
            <w:r>
              <w:t>.</w:t>
            </w:r>
          </w:p>
          <w:p w:rsidR="000E3FB5" w:rsidRDefault="000E3FB5" w:rsidP="000E3FB5">
            <w:pPr>
              <w:pStyle w:val="ListParagraph"/>
              <w:numPr>
                <w:ilvl w:val="0"/>
                <w:numId w:val="13"/>
              </w:numPr>
            </w:pPr>
            <w:r w:rsidRPr="000E3FB5">
              <w:t>Douglas Harbor (to Juneau-Douglas Bridge</w:t>
            </w:r>
            <w:r w:rsidR="002062CC">
              <w:t>;</w:t>
            </w:r>
            <w:r>
              <w:t xml:space="preserve"> 4</w:t>
            </w:r>
            <w:r w:rsidRPr="000E3FB5">
              <w:t xml:space="preserve"> miles of shoreline</w:t>
            </w:r>
            <w:r>
              <w:t xml:space="preserve"> &amp; 4</w:t>
            </w:r>
            <w:r w:rsidRPr="000E3FB5">
              <w:t>6 coastal transects</w:t>
            </w:r>
            <w:r w:rsidR="002062CC">
              <w:t>).</w:t>
            </w:r>
          </w:p>
          <w:p w:rsidR="000E3FB5" w:rsidRDefault="00F426FA" w:rsidP="002062CC">
            <w:pPr>
              <w:pStyle w:val="ListParagraph"/>
              <w:numPr>
                <w:ilvl w:val="0"/>
                <w:numId w:val="13"/>
              </w:numPr>
            </w:pPr>
            <w:r w:rsidRPr="00F426FA">
              <w:t>Tee Harbor</w:t>
            </w:r>
            <w:r>
              <w:t xml:space="preserve"> (</w:t>
            </w:r>
            <w:r w:rsidR="002062CC" w:rsidRPr="002062CC">
              <w:t>3 miles of shoreline</w:t>
            </w:r>
            <w:r w:rsidR="002062CC">
              <w:t>, a</w:t>
            </w:r>
            <w:r w:rsidR="002062CC" w:rsidRPr="002062CC">
              <w:t>pproximate V in effective mapping</w:t>
            </w:r>
            <w:r w:rsidR="002062CC">
              <w:t>).</w:t>
            </w:r>
          </w:p>
          <w:p w:rsidR="00EC725F" w:rsidRDefault="00EC725F" w:rsidP="006540BD">
            <w:pPr>
              <w:pStyle w:val="ListParagraph"/>
              <w:numPr>
                <w:ilvl w:val="0"/>
                <w:numId w:val="5"/>
              </w:numPr>
            </w:pPr>
            <w:r>
              <w:t>Josha explained the topographic data sources from the 2009 coastal studies performed by Northwest Hydraulic Consultants (NHC) and the 2013 LiDAR data provided by CBJ that STARR used for the updated draft coastal analysis performed by STARR.</w:t>
            </w:r>
          </w:p>
          <w:p w:rsidR="00F27668" w:rsidRDefault="006F389A" w:rsidP="006540BD">
            <w:pPr>
              <w:pStyle w:val="ListParagraph"/>
              <w:numPr>
                <w:ilvl w:val="0"/>
                <w:numId w:val="5"/>
              </w:numPr>
            </w:pPr>
            <w:r>
              <w:t>Josha provided a coastal flooding overview</w:t>
            </w:r>
            <w:r w:rsidR="00F27668">
              <w:t>:</w:t>
            </w:r>
          </w:p>
          <w:p w:rsidR="00F27668" w:rsidRDefault="00F27668" w:rsidP="00F27668">
            <w:pPr>
              <w:pStyle w:val="ListParagraph"/>
              <w:numPr>
                <w:ilvl w:val="0"/>
                <w:numId w:val="13"/>
              </w:numPr>
            </w:pPr>
            <w:r>
              <w:t>The modeling process</w:t>
            </w:r>
          </w:p>
          <w:p w:rsidR="00F27668" w:rsidRDefault="00F27668" w:rsidP="00F27668">
            <w:pPr>
              <w:pStyle w:val="ListParagraph"/>
              <w:numPr>
                <w:ilvl w:val="0"/>
                <w:numId w:val="13"/>
              </w:numPr>
            </w:pPr>
            <w:r>
              <w:t xml:space="preserve">Step 1: Wave Modeling </w:t>
            </w:r>
            <w:r w:rsidRPr="00F27668">
              <w:t>Performed by NHC</w:t>
            </w:r>
          </w:p>
          <w:p w:rsidR="00F27668" w:rsidRDefault="00F27668" w:rsidP="00F27668">
            <w:pPr>
              <w:pStyle w:val="ListParagraph"/>
              <w:numPr>
                <w:ilvl w:val="0"/>
                <w:numId w:val="13"/>
              </w:numPr>
            </w:pPr>
            <w:r>
              <w:t xml:space="preserve">Step 2:  Wave Setup and Runup </w:t>
            </w:r>
            <w:r w:rsidRPr="00F27668">
              <w:t>(Transect Analysis)</w:t>
            </w:r>
          </w:p>
          <w:p w:rsidR="00F27668" w:rsidRDefault="00F27668" w:rsidP="00F27668">
            <w:pPr>
              <w:pStyle w:val="ListParagraph"/>
              <w:numPr>
                <w:ilvl w:val="0"/>
                <w:numId w:val="13"/>
              </w:numPr>
            </w:pPr>
            <w:r w:rsidRPr="00F27668">
              <w:t>Slope Comparison Analysis</w:t>
            </w:r>
          </w:p>
          <w:p w:rsidR="00F27668" w:rsidRDefault="00F27668" w:rsidP="00F27668">
            <w:pPr>
              <w:pStyle w:val="ListParagraph"/>
              <w:numPr>
                <w:ilvl w:val="0"/>
                <w:numId w:val="13"/>
              </w:numPr>
            </w:pPr>
            <w:r>
              <w:t xml:space="preserve">Step </w:t>
            </w:r>
            <w:r w:rsidRPr="00F27668">
              <w:t>3:  General Mapping</w:t>
            </w:r>
          </w:p>
          <w:p w:rsidR="00417F84" w:rsidRDefault="00417F84" w:rsidP="00417F84">
            <w:pPr>
              <w:pStyle w:val="ListParagraph"/>
              <w:numPr>
                <w:ilvl w:val="0"/>
                <w:numId w:val="13"/>
              </w:numPr>
            </w:pPr>
            <w:r>
              <w:t xml:space="preserve">Step 3:  Special Mapping Cases - </w:t>
            </w:r>
            <w:r w:rsidRPr="00417F84">
              <w:t>Auke Cove</w:t>
            </w:r>
          </w:p>
          <w:p w:rsidR="00417F84" w:rsidRDefault="00417F84" w:rsidP="00417F84">
            <w:pPr>
              <w:pStyle w:val="ListParagraph"/>
              <w:numPr>
                <w:ilvl w:val="0"/>
                <w:numId w:val="13"/>
              </w:numPr>
            </w:pPr>
            <w:r>
              <w:t>Step 3:  Special Mapping Cases – Fill Areas</w:t>
            </w:r>
          </w:p>
          <w:p w:rsidR="00B40D7A" w:rsidRDefault="004F6CE6" w:rsidP="00B40D7A">
            <w:pPr>
              <w:pStyle w:val="ListParagraph"/>
              <w:numPr>
                <w:ilvl w:val="0"/>
                <w:numId w:val="5"/>
              </w:numPr>
              <w:spacing w:after="200" w:line="276" w:lineRule="auto"/>
            </w:pPr>
            <w:r>
              <w:lastRenderedPageBreak/>
              <w:t xml:space="preserve">Josha </w:t>
            </w:r>
            <w:r w:rsidR="00B40D7A">
              <w:t xml:space="preserve">wrapped up the coastal analysis section of the presentation by mentioning </w:t>
            </w:r>
            <w:r w:rsidR="00B40D7A" w:rsidRPr="00B40D7A">
              <w:t>FEMA</w:t>
            </w:r>
            <w:r w:rsidR="00B40D7A">
              <w:t>’s</w:t>
            </w:r>
            <w:r w:rsidR="00B40D7A" w:rsidRPr="00B40D7A">
              <w:t xml:space="preserve"> Coastal Outreach Website</w:t>
            </w:r>
            <w:r w:rsidR="00B40D7A">
              <w:t xml:space="preserve">: </w:t>
            </w:r>
            <w:hyperlink r:id="rId8" w:history="1">
              <w:r w:rsidR="00B40D7A" w:rsidRPr="007F393E">
                <w:rPr>
                  <w:rStyle w:val="Hyperlink"/>
                </w:rPr>
                <w:t>www.fema.gov/coastal-flood-risks</w:t>
              </w:r>
            </w:hyperlink>
            <w:r w:rsidR="00B40D7A">
              <w:t xml:space="preserve"> </w:t>
            </w:r>
          </w:p>
          <w:p w:rsidR="008F555D" w:rsidRDefault="00B352E1" w:rsidP="00C76BA2">
            <w:pPr>
              <w:pStyle w:val="ListParagraph"/>
              <w:numPr>
                <w:ilvl w:val="0"/>
                <w:numId w:val="5"/>
              </w:numPr>
              <w:spacing w:after="200" w:line="276" w:lineRule="auto"/>
            </w:pPr>
            <w:r>
              <w:t xml:space="preserve">Josha </w:t>
            </w:r>
            <w:r w:rsidR="00534561">
              <w:t xml:space="preserve">provided an overview of the riverine scope of work for this draft </w:t>
            </w:r>
            <w:r w:rsidR="008F555D">
              <w:t xml:space="preserve">study. </w:t>
            </w:r>
          </w:p>
          <w:p w:rsidR="008F555D" w:rsidRDefault="00534561" w:rsidP="008F555D">
            <w:pPr>
              <w:pStyle w:val="ListParagraph"/>
              <w:numPr>
                <w:ilvl w:val="0"/>
                <w:numId w:val="13"/>
              </w:numPr>
              <w:spacing w:after="200" w:line="276" w:lineRule="auto"/>
            </w:pPr>
            <w:r>
              <w:t xml:space="preserve">Approximate flood studies were performed for: Auke Creek (0.9 mile) and Gold Creek (2 miles).  </w:t>
            </w:r>
          </w:p>
          <w:p w:rsidR="00C76BA2" w:rsidRDefault="00534561" w:rsidP="008F555D">
            <w:pPr>
              <w:pStyle w:val="ListParagraph"/>
              <w:numPr>
                <w:ilvl w:val="0"/>
                <w:numId w:val="13"/>
              </w:numPr>
              <w:spacing w:after="200" w:line="276" w:lineRule="auto"/>
            </w:pPr>
            <w:r>
              <w:t xml:space="preserve">Detailed flood studies were performed for: </w:t>
            </w:r>
            <w:r w:rsidRPr="00534561">
              <w:t xml:space="preserve">Duck Creek DS </w:t>
            </w:r>
            <w:r>
              <w:t>(1.7 miles), Duck Creek Middle (0.9 mile), Duck Creek U</w:t>
            </w:r>
            <w:r w:rsidRPr="00534561">
              <w:t>S</w:t>
            </w:r>
            <w:r>
              <w:t xml:space="preserve"> (0.8 mile), </w:t>
            </w:r>
            <w:r w:rsidR="00D847E6" w:rsidRPr="00D847E6">
              <w:t>Unnamed Tributary to Duck Creek</w:t>
            </w:r>
            <w:r w:rsidR="00D847E6">
              <w:t xml:space="preserve"> (0.4 mile), </w:t>
            </w:r>
            <w:r w:rsidR="00C76BA2" w:rsidRPr="00C76BA2">
              <w:t>East Fork Duck Creek</w:t>
            </w:r>
            <w:r w:rsidR="00C76BA2">
              <w:t xml:space="preserve"> (1.3 miles), </w:t>
            </w:r>
            <w:r w:rsidR="00C76BA2" w:rsidRPr="00C76BA2">
              <w:t>Lemon Creek</w:t>
            </w:r>
            <w:r w:rsidR="00C76BA2">
              <w:t xml:space="preserve"> (2 miles) &amp; Jordan Creek (3.8 miles).</w:t>
            </w:r>
            <w:r w:rsidRPr="00534561">
              <w:t xml:space="preserve"> </w:t>
            </w:r>
          </w:p>
          <w:p w:rsidR="00545397" w:rsidRDefault="00545397" w:rsidP="00C76BA2">
            <w:pPr>
              <w:pStyle w:val="ListParagraph"/>
              <w:numPr>
                <w:ilvl w:val="0"/>
                <w:numId w:val="5"/>
              </w:numPr>
              <w:spacing w:after="200" w:line="276" w:lineRule="auto"/>
            </w:pPr>
            <w:r>
              <w:t>Josha discussed the levels of riverine studies (Approximate and Detailed) and details regarding each level of study.</w:t>
            </w:r>
          </w:p>
          <w:p w:rsidR="001E777D" w:rsidRDefault="001E777D" w:rsidP="00865869">
            <w:pPr>
              <w:pStyle w:val="ListParagraph"/>
              <w:numPr>
                <w:ilvl w:val="0"/>
                <w:numId w:val="5"/>
              </w:numPr>
              <w:spacing w:after="200" w:line="276" w:lineRule="auto"/>
            </w:pPr>
            <w:r>
              <w:t>Josha discussed the methodology for determining the floodway extents and explained why the floodway limits do not follow contours.</w:t>
            </w:r>
          </w:p>
          <w:p w:rsidR="00464DBB" w:rsidRDefault="00464DBB" w:rsidP="00865869">
            <w:pPr>
              <w:pStyle w:val="ListParagraph"/>
              <w:numPr>
                <w:ilvl w:val="0"/>
                <w:numId w:val="5"/>
              </w:numPr>
              <w:spacing w:after="200" w:line="276" w:lineRule="auto"/>
            </w:pPr>
            <w:r>
              <w:t>The following riverine special mapping cases were brought up:</w:t>
            </w:r>
          </w:p>
          <w:p w:rsidR="00464DBB" w:rsidRDefault="00464DBB" w:rsidP="00464DBB">
            <w:pPr>
              <w:pStyle w:val="ListParagraph"/>
              <w:numPr>
                <w:ilvl w:val="0"/>
                <w:numId w:val="13"/>
              </w:numPr>
              <w:spacing w:after="200" w:line="276" w:lineRule="auto"/>
            </w:pPr>
            <w:r>
              <w:t>Duck Creek (</w:t>
            </w:r>
            <w:r w:rsidRPr="00464DBB">
              <w:t>downstream</w:t>
            </w:r>
            <w:r>
              <w:t>) – the area near the mouth of the stream was re-routed as part of a stream restoration project, and the draft flood study data has been updated to reflect the re-location of the stream channel.</w:t>
            </w:r>
          </w:p>
          <w:p w:rsidR="00464DBB" w:rsidRDefault="00173421" w:rsidP="00173421">
            <w:pPr>
              <w:pStyle w:val="ListParagraph"/>
              <w:numPr>
                <w:ilvl w:val="0"/>
                <w:numId w:val="13"/>
              </w:numPr>
              <w:spacing w:after="200" w:line="276" w:lineRule="auto"/>
            </w:pPr>
            <w:r w:rsidRPr="00173421">
              <w:t xml:space="preserve">Duck &amp; Jordan Creeks </w:t>
            </w:r>
            <w:r>
              <w:t xml:space="preserve">(Mendenhall </w:t>
            </w:r>
            <w:r w:rsidRPr="00173421">
              <w:t>Mall</w:t>
            </w:r>
            <w:r>
              <w:t xml:space="preserve"> area) – the draft flood analysis resulted in some flood hazard data revisions in this area.</w:t>
            </w:r>
          </w:p>
          <w:p w:rsidR="00173421" w:rsidRDefault="00F71210" w:rsidP="00F71210">
            <w:pPr>
              <w:pStyle w:val="ListParagraph"/>
              <w:numPr>
                <w:ilvl w:val="0"/>
                <w:numId w:val="13"/>
              </w:numPr>
              <w:spacing w:after="200" w:line="276" w:lineRule="auto"/>
            </w:pPr>
            <w:r>
              <w:t>East Fork Duck Creek (</w:t>
            </w:r>
            <w:r w:rsidR="00527EF5">
              <w:t>u</w:t>
            </w:r>
            <w:r w:rsidRPr="00F71210">
              <w:t>pstream</w:t>
            </w:r>
            <w:r>
              <w:t>) – updates to hydrology analysis in this area resulted in revision to floodplain location and boundary.</w:t>
            </w:r>
          </w:p>
          <w:p w:rsidR="00F71210" w:rsidRDefault="00527EF5" w:rsidP="00527EF5">
            <w:pPr>
              <w:pStyle w:val="ListParagraph"/>
              <w:numPr>
                <w:ilvl w:val="0"/>
                <w:numId w:val="13"/>
              </w:numPr>
              <w:spacing w:after="200" w:line="276" w:lineRule="auto"/>
            </w:pPr>
            <w:r>
              <w:t>Gold Creek (</w:t>
            </w:r>
            <w:r w:rsidRPr="00527EF5">
              <w:t>downstream</w:t>
            </w:r>
            <w:r>
              <w:t>) – revised hydraulic analysis for the concrete channel segment of Gold Creek resulted in more narrow draft floodplain in this area.</w:t>
            </w:r>
          </w:p>
          <w:p w:rsidR="00FF686B" w:rsidRDefault="00FF686B" w:rsidP="00527EF5">
            <w:pPr>
              <w:pStyle w:val="ListParagraph"/>
              <w:numPr>
                <w:ilvl w:val="0"/>
                <w:numId w:val="13"/>
              </w:numPr>
              <w:spacing w:after="200" w:line="276" w:lineRule="auto"/>
            </w:pPr>
            <w:r>
              <w:t>Auke Lake – using as-built plans/pictures provided by CBJ, STARR was able to develop an approximate base flood elevation (BFE) for Auke Lake.  The static BFE of 71.23 feet was used to re-delineate the lake’s approximate floodplain boundaries to CBJ’s 2013 LiDAR data.</w:t>
            </w:r>
          </w:p>
          <w:p w:rsidR="0054299A" w:rsidRDefault="00E3459C" w:rsidP="0054299A">
            <w:pPr>
              <w:pStyle w:val="ListParagraph"/>
              <w:numPr>
                <w:ilvl w:val="0"/>
                <w:numId w:val="5"/>
              </w:numPr>
              <w:spacing w:after="200" w:line="276" w:lineRule="auto"/>
            </w:pPr>
            <w:r>
              <w:t xml:space="preserve">Amanda Siok, Risk Analyst for Region 10, discussed the non-regulatory products and meetings scoped for </w:t>
            </w:r>
            <w:r w:rsidR="007E05CA">
              <w:t>CBJ</w:t>
            </w:r>
            <w:r>
              <w:t xml:space="preserve"> as part of this</w:t>
            </w:r>
            <w:r w:rsidR="0066230C">
              <w:t xml:space="preserve"> study.</w:t>
            </w:r>
            <w:r w:rsidR="00335A66">
              <w:t xml:space="preserve">  CBJ will be provided with the following non-regulatory products: </w:t>
            </w:r>
          </w:p>
          <w:p w:rsidR="0054299A" w:rsidRDefault="0054299A" w:rsidP="0054299A">
            <w:pPr>
              <w:pStyle w:val="ListParagraph"/>
              <w:numPr>
                <w:ilvl w:val="0"/>
                <w:numId w:val="13"/>
              </w:numPr>
              <w:spacing w:after="200" w:line="276" w:lineRule="auto"/>
            </w:pPr>
            <w:r>
              <w:t>Changes Since Last FIRM</w:t>
            </w:r>
          </w:p>
          <w:p w:rsidR="0054299A" w:rsidRDefault="0054299A" w:rsidP="0054299A">
            <w:pPr>
              <w:pStyle w:val="ListParagraph"/>
              <w:numPr>
                <w:ilvl w:val="0"/>
                <w:numId w:val="13"/>
              </w:numPr>
              <w:spacing w:after="200" w:line="276" w:lineRule="auto"/>
            </w:pPr>
            <w:r>
              <w:t>Flood depth grids for riverine studies conducted as part of this study</w:t>
            </w:r>
          </w:p>
          <w:p w:rsidR="0054299A" w:rsidRDefault="0054299A" w:rsidP="0054299A">
            <w:pPr>
              <w:pStyle w:val="ListParagraph"/>
              <w:numPr>
                <w:ilvl w:val="0"/>
                <w:numId w:val="13"/>
              </w:numPr>
              <w:spacing w:after="200" w:line="276" w:lineRule="auto"/>
            </w:pPr>
            <w:r w:rsidRPr="0054299A">
              <w:t>Hazus-MH Risk Assessments</w:t>
            </w:r>
            <w:r>
              <w:t xml:space="preserve"> for flood (an example of building loss data due to flood event was provided during the presentation), earthquake and tsunami.</w:t>
            </w:r>
          </w:p>
          <w:p w:rsidR="00F64C0E" w:rsidRDefault="0054299A" w:rsidP="0054299A">
            <w:pPr>
              <w:pStyle w:val="ListParagraph"/>
              <w:numPr>
                <w:ilvl w:val="0"/>
                <w:numId w:val="5"/>
              </w:numPr>
              <w:spacing w:after="200" w:line="276" w:lineRule="auto"/>
            </w:pPr>
            <w:r w:rsidRPr="00F64C0E">
              <w:t xml:space="preserve">Amanda </w:t>
            </w:r>
            <w:r w:rsidR="00F64C0E">
              <w:t>discussed multi-hazard outreach inserts that can be provided to CBJ.</w:t>
            </w:r>
          </w:p>
          <w:p w:rsidR="0054299A" w:rsidRDefault="00F64C0E" w:rsidP="0054299A">
            <w:pPr>
              <w:pStyle w:val="ListParagraph"/>
              <w:numPr>
                <w:ilvl w:val="0"/>
                <w:numId w:val="5"/>
              </w:numPr>
              <w:spacing w:after="200" w:line="276" w:lineRule="auto"/>
            </w:pPr>
            <w:r>
              <w:lastRenderedPageBreak/>
              <w:t>Amanda explained the non-regulatory deliverables that will be developed as part of this Risk MAP study</w:t>
            </w:r>
            <w:r w:rsidR="0054299A" w:rsidRPr="00F64C0E">
              <w:t>.</w:t>
            </w:r>
          </w:p>
          <w:p w:rsidR="005E6145" w:rsidRDefault="005E6145" w:rsidP="0054299A">
            <w:pPr>
              <w:pStyle w:val="ListParagraph"/>
              <w:numPr>
                <w:ilvl w:val="0"/>
                <w:numId w:val="5"/>
              </w:numPr>
              <w:spacing w:after="200" w:line="276" w:lineRule="auto"/>
            </w:pPr>
            <w:r>
              <w:t xml:space="preserve">Ted explained </w:t>
            </w:r>
            <w:r w:rsidR="00CE7B6B">
              <w:t>that he is working to secure funding for the next phase of this Risk MAP study which would include preliminary production and distribution.  FEMA/STARR estimates 4-6 month preliminary distribution/issuance date after preliminary production starts.</w:t>
            </w:r>
          </w:p>
          <w:p w:rsidR="00FA7B6C" w:rsidRDefault="00003F1C" w:rsidP="00FA7B6C">
            <w:pPr>
              <w:pStyle w:val="ListParagraph"/>
              <w:numPr>
                <w:ilvl w:val="0"/>
                <w:numId w:val="1"/>
              </w:numPr>
            </w:pPr>
            <w:r>
              <w:t>Next Steps</w:t>
            </w:r>
          </w:p>
          <w:p w:rsidR="00003F1C" w:rsidRPr="004B22A6" w:rsidRDefault="004B22A6" w:rsidP="00003F1C">
            <w:pPr>
              <w:pStyle w:val="ListParagraph"/>
              <w:numPr>
                <w:ilvl w:val="0"/>
                <w:numId w:val="6"/>
              </w:numPr>
            </w:pPr>
            <w:r w:rsidRPr="004B22A6">
              <w:t>Ted</w:t>
            </w:r>
            <w:r w:rsidR="00003F1C" w:rsidRPr="004B22A6">
              <w:t xml:space="preserve"> asked the community to review the draft maps to see i</w:t>
            </w:r>
            <w:r w:rsidRPr="004B22A6">
              <w:t>f floodplains are reasonable</w:t>
            </w:r>
            <w:r w:rsidR="00003F1C" w:rsidRPr="004B22A6">
              <w:t xml:space="preserve">.  Comments were requested to be submitted to </w:t>
            </w:r>
            <w:r w:rsidRPr="004B22A6">
              <w:t>Emily Whitehead</w:t>
            </w:r>
            <w:r w:rsidR="00003F1C" w:rsidRPr="004B22A6">
              <w:t xml:space="preserve"> with STARR </w:t>
            </w:r>
            <w:r w:rsidRPr="004B22A6">
              <w:t xml:space="preserve">by </w:t>
            </w:r>
            <w:r w:rsidR="00864FBD">
              <w:t>September 30</w:t>
            </w:r>
            <w:r w:rsidRPr="004B22A6">
              <w:t>, 2016</w:t>
            </w:r>
            <w:r w:rsidR="00864FBD">
              <w:t>.</w:t>
            </w:r>
          </w:p>
          <w:p w:rsidR="00712757" w:rsidRPr="004B22A6" w:rsidRDefault="00712757" w:rsidP="00712757">
            <w:pPr>
              <w:pStyle w:val="ListParagraph"/>
              <w:numPr>
                <w:ilvl w:val="0"/>
                <w:numId w:val="6"/>
              </w:numPr>
            </w:pPr>
            <w:r w:rsidRPr="004B22A6">
              <w:t xml:space="preserve">The PowerPoint </w:t>
            </w:r>
            <w:r w:rsidR="00541E1F" w:rsidRPr="004B22A6">
              <w:t>presentation</w:t>
            </w:r>
            <w:r w:rsidR="00AC4D97">
              <w:t xml:space="preserve">s </w:t>
            </w:r>
            <w:r w:rsidR="00541E1F" w:rsidRPr="004B22A6">
              <w:t>are</w:t>
            </w:r>
            <w:r w:rsidRPr="004B22A6">
              <w:t xml:space="preserve"> available as Attachment B to the meeting minutes.</w:t>
            </w:r>
          </w:p>
          <w:p w:rsidR="00AC4D97" w:rsidRDefault="00003F1C" w:rsidP="00AC4D97">
            <w:pPr>
              <w:pStyle w:val="ListParagraph"/>
              <w:numPr>
                <w:ilvl w:val="0"/>
                <w:numId w:val="1"/>
              </w:numPr>
              <w:spacing w:after="200" w:line="276" w:lineRule="auto"/>
            </w:pPr>
            <w:r>
              <w:t>Open Discussion</w:t>
            </w:r>
            <w:r w:rsidR="00CD3186">
              <w:t xml:space="preserve"> – </w:t>
            </w:r>
            <w:r w:rsidR="00517C00">
              <w:t>A</w:t>
            </w:r>
            <w:r w:rsidR="00CD3186">
              <w:t>fter the conclusion of the PowerPoint Presentation the following items were discussed</w:t>
            </w:r>
            <w:r w:rsidR="00517C00">
              <w:t>:</w:t>
            </w:r>
          </w:p>
          <w:p w:rsidR="00C26FD5" w:rsidRDefault="00AC4D97" w:rsidP="003449F2">
            <w:pPr>
              <w:pStyle w:val="ListParagraph"/>
              <w:numPr>
                <w:ilvl w:val="0"/>
                <w:numId w:val="16"/>
              </w:numPr>
            </w:pPr>
            <w:r w:rsidRPr="00AC4D97">
              <w:t xml:space="preserve">Eric Feldt with CBJ asked for clarification regarding the public meeting process after the preliminary products are distributed.  Ted responded that first we would schedule a </w:t>
            </w:r>
            <w:r w:rsidR="003449F2" w:rsidRPr="003449F2">
              <w:t>Consultation Coordination Officers (CCO) Meeting</w:t>
            </w:r>
            <w:r w:rsidRPr="00AC4D97">
              <w:t xml:space="preserve"> during which we again meet with local government officials only, and then a couple of months later FEMA/State of Alaska/STARR/etc. could come back to Juneau to assist with a public meeting that would be CBJ’s responsibility to schedule and perform outreach to general public.  Ted also clarified that the appeals period would not start until after the public meeting is held, assuming CBJ is able to schedule the meeting within the timeline discussed at the CCO meeting.</w:t>
            </w:r>
          </w:p>
        </w:tc>
      </w:tr>
      <w:tr w:rsidR="00C26FD5" w:rsidTr="000451E1">
        <w:tc>
          <w:tcPr>
            <w:tcW w:w="7732" w:type="dxa"/>
            <w:gridSpan w:val="2"/>
            <w:tcBorders>
              <w:top w:val="single" w:sz="4" w:space="0" w:color="000000" w:themeColor="text1"/>
              <w:left w:val="double" w:sz="4" w:space="0" w:color="auto"/>
              <w:bottom w:val="double" w:sz="4" w:space="0" w:color="auto"/>
              <w:right w:val="single" w:sz="4" w:space="0" w:color="000000" w:themeColor="text1"/>
            </w:tcBorders>
          </w:tcPr>
          <w:p w:rsidR="00C26FD5" w:rsidRPr="001C212B" w:rsidRDefault="00C26FD5" w:rsidP="001F76E0">
            <w:pPr>
              <w:rPr>
                <w:sz w:val="24"/>
                <w:szCs w:val="24"/>
              </w:rPr>
            </w:pPr>
            <w:r>
              <w:rPr>
                <w:sz w:val="24"/>
                <w:szCs w:val="24"/>
              </w:rPr>
              <w:lastRenderedPageBreak/>
              <w:t>Name/Title:</w:t>
            </w:r>
            <w:r w:rsidR="00617260">
              <w:rPr>
                <w:sz w:val="24"/>
                <w:szCs w:val="24"/>
              </w:rPr>
              <w:t xml:space="preserve">  </w:t>
            </w:r>
            <w:r w:rsidR="001F76E0">
              <w:rPr>
                <w:sz w:val="24"/>
                <w:szCs w:val="24"/>
              </w:rPr>
              <w:t>Emily Whitehead</w:t>
            </w:r>
            <w:r w:rsidR="00617260">
              <w:rPr>
                <w:sz w:val="24"/>
                <w:szCs w:val="24"/>
              </w:rPr>
              <w:t xml:space="preserve">, </w:t>
            </w:r>
            <w:r w:rsidR="001F76E0">
              <w:rPr>
                <w:sz w:val="24"/>
                <w:szCs w:val="24"/>
              </w:rPr>
              <w:t>CFM, GISP</w:t>
            </w:r>
          </w:p>
        </w:tc>
        <w:tc>
          <w:tcPr>
            <w:tcW w:w="1871" w:type="dxa"/>
            <w:tcBorders>
              <w:top w:val="single" w:sz="4" w:space="0" w:color="000000" w:themeColor="text1"/>
              <w:left w:val="single" w:sz="4" w:space="0" w:color="000000" w:themeColor="text1"/>
              <w:bottom w:val="double" w:sz="4" w:space="0" w:color="auto"/>
              <w:right w:val="double" w:sz="4" w:space="0" w:color="auto"/>
            </w:tcBorders>
          </w:tcPr>
          <w:p w:rsidR="00C26FD5" w:rsidRDefault="00C26FD5" w:rsidP="00AB5229">
            <w:r>
              <w:t>Date:</w:t>
            </w:r>
            <w:r w:rsidR="00617260">
              <w:t xml:space="preserve">  </w:t>
            </w:r>
            <w:r w:rsidR="00180B34">
              <w:t>9</w:t>
            </w:r>
            <w:r w:rsidR="00617260">
              <w:t>/</w:t>
            </w:r>
            <w:r w:rsidR="00AB5229">
              <w:t>7</w:t>
            </w:r>
            <w:r w:rsidR="001F76E0">
              <w:t>/2016</w:t>
            </w:r>
          </w:p>
        </w:tc>
      </w:tr>
    </w:tbl>
    <w:p w:rsidR="00605E17" w:rsidRDefault="00605E17" w:rsidP="00906D8C">
      <w:pPr>
        <w:spacing w:after="0"/>
      </w:pPr>
    </w:p>
    <w:sectPr w:rsidR="00605E17" w:rsidSect="00B409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89" w:rsidRDefault="00526589" w:rsidP="00B45226">
      <w:pPr>
        <w:spacing w:after="0" w:line="240" w:lineRule="auto"/>
      </w:pPr>
      <w:r>
        <w:separator/>
      </w:r>
    </w:p>
  </w:endnote>
  <w:endnote w:type="continuationSeparator" w:id="0">
    <w:p w:rsidR="00526589" w:rsidRDefault="00526589" w:rsidP="00B45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31" w:rsidRDefault="00B40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31" w:rsidRDefault="00B40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31" w:rsidRDefault="00B40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89" w:rsidRDefault="00526589" w:rsidP="00B45226">
      <w:pPr>
        <w:spacing w:after="0" w:line="240" w:lineRule="auto"/>
      </w:pPr>
      <w:r>
        <w:separator/>
      </w:r>
    </w:p>
  </w:footnote>
  <w:footnote w:type="continuationSeparator" w:id="0">
    <w:p w:rsidR="00526589" w:rsidRDefault="00526589" w:rsidP="00B452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31" w:rsidRDefault="00B40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 E1" o:spid="_x0000_s2050" type="#_x0000_t136" style="position:absolute;margin-left:168.5pt;margin-top:5in;width:275pt;height:1in;rotation:315;z-index:251659264;mso-wrap-distance-left:1pt;mso-wrap-distance-right:1pt;mso-position-horizontal:absolute;mso-position-horizontal-relative:page;mso-position-vertical:absolute;mso-position-vertical-relative:page" fillcolor="silver" stroked="f" strokecolor="silver">
          <v:fill opacity=".5"/>
          <v:stroke r:id="rId1" o:title="" opacity=".5"/>
          <v:shadow color="#868686"/>
          <v:textpath style="font-family:&quot;Century Gothic&quot;;font-size:30pt;v-text-kern:t" trim="t" fitpath="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31026"/>
      <w:docPartObj>
        <w:docPartGallery w:val="Watermarks"/>
        <w:docPartUnique/>
      </w:docPartObj>
    </w:sdtPr>
    <w:sdtEndPr/>
    <w:sdtContent>
      <w:p w:rsidR="00E930AC" w:rsidRDefault="00E930AC">
        <w:pPr>
          <w:pStyle w:val="Header"/>
        </w:pPr>
      </w:p>
      <w:tbl>
        <w:tblPr>
          <w:tblStyle w:val="TableGrid"/>
          <w:tblW w:w="9603" w:type="dxa"/>
          <w:tblLayout w:type="fixed"/>
          <w:tblCellMar>
            <w:left w:w="115" w:type="dxa"/>
            <w:right w:w="115" w:type="dxa"/>
          </w:tblCellMar>
          <w:tblLook w:val="04A0" w:firstRow="1" w:lastRow="0" w:firstColumn="1" w:lastColumn="0" w:noHBand="0" w:noVBand="1"/>
        </w:tblPr>
        <w:tblGrid>
          <w:gridCol w:w="2628"/>
          <w:gridCol w:w="5104"/>
          <w:gridCol w:w="1871"/>
        </w:tblGrid>
        <w:tr w:rsidR="00E930AC" w:rsidRPr="00D526B3" w:rsidTr="00686426">
          <w:trPr>
            <w:trHeight w:val="260"/>
          </w:trPr>
          <w:tc>
            <w:tcPr>
              <w:tcW w:w="2628" w:type="dxa"/>
              <w:vMerge w:val="restart"/>
              <w:tcBorders>
                <w:top w:val="double" w:sz="4" w:space="0" w:color="auto"/>
                <w:left w:val="double" w:sz="4" w:space="0" w:color="auto"/>
                <w:bottom w:val="nil"/>
                <w:right w:val="nil"/>
              </w:tcBorders>
              <w:vAlign w:val="center"/>
            </w:tcPr>
            <w:p w:rsidR="00E930AC" w:rsidRPr="003B2101" w:rsidRDefault="00E930AC" w:rsidP="00E930AC">
              <w:pPr>
                <w:jc w:val="center"/>
                <w:rPr>
                  <w:rFonts w:asciiTheme="majorHAnsi" w:hAnsiTheme="majorHAnsi"/>
                  <w:sz w:val="28"/>
                  <w:szCs w:val="28"/>
                </w:rPr>
              </w:pPr>
              <w:r w:rsidRPr="00D526B3">
                <w:rPr>
                  <w:rFonts w:asciiTheme="majorHAnsi" w:hAnsiTheme="majorHAnsi"/>
                  <w:noProof/>
                  <w:sz w:val="28"/>
                  <w:szCs w:val="28"/>
                </w:rPr>
                <w:drawing>
                  <wp:inline distT="0" distB="0" distL="0" distR="0" wp14:anchorId="2ACF1FC6" wp14:editId="6702BE80">
                    <wp:extent cx="676275" cy="361728"/>
                    <wp:effectExtent l="19050" t="0" r="0" b="0"/>
                    <wp:docPr id="1" name="Picture 0" descr="med_b&amp;w_no_subtex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d_b&amp;w_no_subtext.bmp"/>
                            <pic:cNvPicPr>
                              <a:picLocks noChangeAspect="1" noChangeArrowheads="1"/>
                            </pic:cNvPicPr>
                          </pic:nvPicPr>
                          <pic:blipFill>
                            <a:blip r:embed="rId1" cstate="print"/>
                            <a:srcRect/>
                            <a:stretch>
                              <a:fillRect/>
                            </a:stretch>
                          </pic:blipFill>
                          <pic:spPr bwMode="auto">
                            <a:xfrm>
                              <a:off x="0" y="0"/>
                              <a:ext cx="687017" cy="367474"/>
                            </a:xfrm>
                            <a:prstGeom prst="rect">
                              <a:avLst/>
                            </a:prstGeom>
                            <a:noFill/>
                            <a:ln w="9525">
                              <a:noFill/>
                              <a:miter lim="800000"/>
                              <a:headEnd/>
                              <a:tailEnd/>
                            </a:ln>
                          </pic:spPr>
                        </pic:pic>
                      </a:graphicData>
                    </a:graphic>
                  </wp:inline>
                </w:drawing>
              </w:r>
            </w:p>
          </w:tc>
          <w:tc>
            <w:tcPr>
              <w:tcW w:w="5104" w:type="dxa"/>
              <w:tcBorders>
                <w:top w:val="double" w:sz="4" w:space="0" w:color="auto"/>
                <w:left w:val="nil"/>
                <w:bottom w:val="nil"/>
              </w:tcBorders>
              <w:vAlign w:val="center"/>
            </w:tcPr>
            <w:p w:rsidR="00E930AC" w:rsidRPr="003B2101" w:rsidRDefault="00E930AC" w:rsidP="00E930AC">
              <w:pPr>
                <w:tabs>
                  <w:tab w:val="left" w:pos="162"/>
                </w:tabs>
                <w:ind w:right="-1089"/>
                <w:rPr>
                  <w:rFonts w:asciiTheme="majorHAnsi" w:hAnsiTheme="majorHAnsi"/>
                  <w:sz w:val="28"/>
                  <w:szCs w:val="28"/>
                </w:rPr>
              </w:pPr>
            </w:p>
          </w:tc>
          <w:tc>
            <w:tcPr>
              <w:tcW w:w="1871" w:type="dxa"/>
              <w:tcBorders>
                <w:top w:val="double" w:sz="4" w:space="0" w:color="auto"/>
                <w:bottom w:val="nil"/>
                <w:right w:val="double" w:sz="4" w:space="0" w:color="auto"/>
              </w:tcBorders>
              <w:vAlign w:val="center"/>
            </w:tcPr>
            <w:p w:rsidR="00E930AC" w:rsidRPr="00D526B3" w:rsidRDefault="00E930AC" w:rsidP="00E930AC">
              <w:pPr>
                <w:rPr>
                  <w:sz w:val="18"/>
                  <w:szCs w:val="18"/>
                </w:rPr>
              </w:pPr>
              <w:r>
                <w:rPr>
                  <w:sz w:val="18"/>
                  <w:szCs w:val="18"/>
                </w:rPr>
                <w:t>Doc #:</w:t>
              </w:r>
            </w:p>
          </w:tc>
        </w:tr>
        <w:tr w:rsidR="00E930AC" w:rsidRPr="008A2C5E" w:rsidTr="00686426">
          <w:trPr>
            <w:trHeight w:val="558"/>
          </w:trPr>
          <w:tc>
            <w:tcPr>
              <w:tcW w:w="2628" w:type="dxa"/>
              <w:vMerge/>
              <w:tcBorders>
                <w:top w:val="nil"/>
                <w:left w:val="double" w:sz="4" w:space="0" w:color="auto"/>
                <w:bottom w:val="single" w:sz="4" w:space="0" w:color="000000" w:themeColor="text1"/>
                <w:right w:val="nil"/>
              </w:tcBorders>
              <w:vAlign w:val="center"/>
            </w:tcPr>
            <w:p w:rsidR="00E930AC" w:rsidRPr="003B2101" w:rsidRDefault="00E930AC" w:rsidP="00E930AC">
              <w:pPr>
                <w:jc w:val="center"/>
                <w:rPr>
                  <w:rFonts w:asciiTheme="majorHAnsi" w:hAnsiTheme="majorHAnsi"/>
                  <w:sz w:val="28"/>
                  <w:szCs w:val="28"/>
                </w:rPr>
              </w:pPr>
            </w:p>
          </w:tc>
          <w:tc>
            <w:tcPr>
              <w:tcW w:w="5104" w:type="dxa"/>
              <w:tcBorders>
                <w:top w:val="nil"/>
                <w:left w:val="nil"/>
                <w:bottom w:val="single" w:sz="4" w:space="0" w:color="000000" w:themeColor="text1"/>
              </w:tcBorders>
              <w:vAlign w:val="center"/>
            </w:tcPr>
            <w:p w:rsidR="00E930AC" w:rsidRPr="008A2C5E" w:rsidRDefault="00E930AC" w:rsidP="00E930AC">
              <w:pPr>
                <w:tabs>
                  <w:tab w:val="left" w:pos="162"/>
                </w:tabs>
                <w:ind w:right="-1089"/>
                <w:rPr>
                  <w:sz w:val="28"/>
                  <w:szCs w:val="28"/>
                </w:rPr>
              </w:pPr>
              <w:r>
                <w:rPr>
                  <w:sz w:val="28"/>
                  <w:szCs w:val="28"/>
                </w:rPr>
                <w:t>Meeting Minutes</w:t>
              </w:r>
            </w:p>
            <w:p w:rsidR="00E930AC" w:rsidRPr="003B2101" w:rsidRDefault="00E930AC" w:rsidP="00E930AC">
              <w:pPr>
                <w:jc w:val="center"/>
                <w:rPr>
                  <w:rFonts w:asciiTheme="majorHAnsi" w:hAnsiTheme="majorHAnsi"/>
                  <w:sz w:val="28"/>
                  <w:szCs w:val="28"/>
                </w:rPr>
              </w:pPr>
            </w:p>
          </w:tc>
          <w:tc>
            <w:tcPr>
              <w:tcW w:w="1871" w:type="dxa"/>
              <w:tcBorders>
                <w:top w:val="nil"/>
                <w:bottom w:val="single" w:sz="4" w:space="0" w:color="000000" w:themeColor="text1"/>
                <w:right w:val="double" w:sz="4" w:space="0" w:color="auto"/>
              </w:tcBorders>
              <w:vAlign w:val="center"/>
            </w:tcPr>
            <w:p w:rsidR="00E930AC" w:rsidRPr="008A2C5E" w:rsidRDefault="008219E6" w:rsidP="00A34AB7">
              <w:pPr>
                <w:rPr>
                  <w:sz w:val="28"/>
                  <w:szCs w:val="28"/>
                </w:rPr>
              </w:pPr>
              <w:r>
                <w:rPr>
                  <w:i/>
                  <w:sz w:val="28"/>
                  <w:szCs w:val="28"/>
                </w:rPr>
                <w:t>20160</w:t>
              </w:r>
              <w:r w:rsidR="00A34AB7">
                <w:rPr>
                  <w:i/>
                  <w:sz w:val="28"/>
                  <w:szCs w:val="28"/>
                </w:rPr>
                <w:t>83</w:t>
              </w:r>
              <w:r>
                <w:rPr>
                  <w:i/>
                  <w:sz w:val="28"/>
                  <w:szCs w:val="28"/>
                </w:rPr>
                <w:t>0_</w:t>
              </w:r>
              <w:r w:rsidR="00A34AB7">
                <w:rPr>
                  <w:i/>
                  <w:sz w:val="28"/>
                  <w:szCs w:val="28"/>
                </w:rPr>
                <w:t>CBJ</w:t>
              </w:r>
              <w:r>
                <w:rPr>
                  <w:i/>
                  <w:sz w:val="28"/>
                  <w:szCs w:val="28"/>
                </w:rPr>
                <w:t>_FRR_minutes</w:t>
              </w:r>
            </w:p>
          </w:tc>
        </w:tr>
        <w:tr w:rsidR="00E930AC" w:rsidTr="00686426">
          <w:trPr>
            <w:trHeight w:val="260"/>
          </w:trPr>
          <w:tc>
            <w:tcPr>
              <w:tcW w:w="7732" w:type="dxa"/>
              <w:gridSpan w:val="2"/>
              <w:tcBorders>
                <w:left w:val="double" w:sz="4" w:space="0" w:color="auto"/>
                <w:bottom w:val="nil"/>
                <w:right w:val="single" w:sz="4" w:space="0" w:color="000000" w:themeColor="text1"/>
              </w:tcBorders>
              <w:vAlign w:val="center"/>
            </w:tcPr>
            <w:p w:rsidR="00E930AC" w:rsidRPr="00D526B3" w:rsidRDefault="00E930AC" w:rsidP="00E930AC">
              <w:pPr>
                <w:rPr>
                  <w:sz w:val="18"/>
                  <w:szCs w:val="18"/>
                </w:rPr>
              </w:pPr>
              <w:r>
                <w:rPr>
                  <w:sz w:val="18"/>
                  <w:szCs w:val="18"/>
                </w:rPr>
                <w:t>Title:</w:t>
              </w:r>
            </w:p>
          </w:tc>
          <w:tc>
            <w:tcPr>
              <w:tcW w:w="1871" w:type="dxa"/>
              <w:tcBorders>
                <w:left w:val="single" w:sz="4" w:space="0" w:color="000000" w:themeColor="text1"/>
                <w:bottom w:val="nil"/>
                <w:right w:val="double" w:sz="4" w:space="0" w:color="auto"/>
              </w:tcBorders>
            </w:tcPr>
            <w:p w:rsidR="00E930AC" w:rsidRDefault="00E930AC" w:rsidP="00E930AC"/>
          </w:tc>
        </w:tr>
        <w:tr w:rsidR="00E930AC" w:rsidRPr="0003453F" w:rsidTr="00E930AC">
          <w:trPr>
            <w:trHeight w:val="135"/>
          </w:trPr>
          <w:tc>
            <w:tcPr>
              <w:tcW w:w="7732" w:type="dxa"/>
              <w:gridSpan w:val="2"/>
              <w:tcBorders>
                <w:top w:val="nil"/>
                <w:left w:val="double" w:sz="4" w:space="0" w:color="auto"/>
                <w:bottom w:val="double" w:sz="4" w:space="0" w:color="auto"/>
                <w:right w:val="single" w:sz="4" w:space="0" w:color="000000" w:themeColor="text1"/>
              </w:tcBorders>
              <w:vAlign w:val="center"/>
            </w:tcPr>
            <w:p w:rsidR="00E930AC" w:rsidRPr="00906D8C" w:rsidRDefault="001A5982" w:rsidP="00A34AB7">
              <w:pPr>
                <w:rPr>
                  <w:sz w:val="24"/>
                  <w:szCs w:val="24"/>
                </w:rPr>
              </w:pPr>
              <w:r>
                <w:rPr>
                  <w:sz w:val="24"/>
                  <w:szCs w:val="24"/>
                </w:rPr>
                <w:t xml:space="preserve">Flood Risk Review </w:t>
              </w:r>
              <w:r w:rsidR="00E930AC">
                <w:rPr>
                  <w:sz w:val="24"/>
                  <w:szCs w:val="24"/>
                </w:rPr>
                <w:t>Meeting</w:t>
              </w:r>
              <w:r>
                <w:rPr>
                  <w:sz w:val="24"/>
                  <w:szCs w:val="24"/>
                </w:rPr>
                <w:t xml:space="preserve"> – </w:t>
              </w:r>
              <w:r w:rsidR="00A34AB7">
                <w:rPr>
                  <w:sz w:val="24"/>
                  <w:szCs w:val="24"/>
                </w:rPr>
                <w:t>City and</w:t>
              </w:r>
              <w:r w:rsidR="008219E6">
                <w:rPr>
                  <w:sz w:val="24"/>
                  <w:szCs w:val="24"/>
                </w:rPr>
                <w:t xml:space="preserve"> Borough</w:t>
              </w:r>
              <w:r w:rsidR="00A34AB7">
                <w:rPr>
                  <w:sz w:val="24"/>
                  <w:szCs w:val="24"/>
                </w:rPr>
                <w:t xml:space="preserve"> of Juneau</w:t>
              </w:r>
              <w:r>
                <w:rPr>
                  <w:sz w:val="24"/>
                  <w:szCs w:val="24"/>
                </w:rPr>
                <w:t xml:space="preserve">, </w:t>
              </w:r>
              <w:r w:rsidR="008219E6">
                <w:rPr>
                  <w:sz w:val="24"/>
                  <w:szCs w:val="24"/>
                </w:rPr>
                <w:t>Alaska</w:t>
              </w:r>
            </w:p>
          </w:tc>
          <w:tc>
            <w:tcPr>
              <w:tcW w:w="1871" w:type="dxa"/>
              <w:tcBorders>
                <w:top w:val="nil"/>
                <w:left w:val="single" w:sz="4" w:space="0" w:color="000000" w:themeColor="text1"/>
                <w:bottom w:val="double" w:sz="4" w:space="0" w:color="auto"/>
                <w:right w:val="double" w:sz="4" w:space="0" w:color="auto"/>
              </w:tcBorders>
              <w:vAlign w:val="center"/>
            </w:tcPr>
            <w:sdt>
              <w:sdtPr>
                <w:id w:val="250395305"/>
                <w:docPartObj>
                  <w:docPartGallery w:val="Page Numbers (Top of Page)"/>
                  <w:docPartUnique/>
                </w:docPartObj>
              </w:sdtPr>
              <w:sdtEndPr/>
              <w:sdtContent>
                <w:p w:rsidR="00E930AC" w:rsidRPr="0003453F" w:rsidRDefault="00E930AC" w:rsidP="00E930AC">
                  <w:r>
                    <w:t xml:space="preserve">Page </w:t>
                  </w:r>
                  <w:r>
                    <w:fldChar w:fldCharType="begin"/>
                  </w:r>
                  <w:r>
                    <w:instrText xml:space="preserve"> PAGE </w:instrText>
                  </w:r>
                  <w:r>
                    <w:fldChar w:fldCharType="separate"/>
                  </w:r>
                  <w:r w:rsidR="00B40931">
                    <w:rPr>
                      <w:noProof/>
                    </w:rPr>
                    <w:t>1</w:t>
                  </w:r>
                  <w:r>
                    <w:rPr>
                      <w:noProof/>
                    </w:rPr>
                    <w:fldChar w:fldCharType="end"/>
                  </w:r>
                  <w:r>
                    <w:t xml:space="preserve"> of </w:t>
                  </w:r>
                  <w:fldSimple w:instr=" NUMPAGES  ">
                    <w:r w:rsidR="00B40931">
                      <w:rPr>
                        <w:noProof/>
                      </w:rPr>
                      <w:t>4</w:t>
                    </w:r>
                  </w:fldSimple>
                </w:p>
              </w:sdtContent>
            </w:sdt>
          </w:tc>
        </w:tr>
      </w:tbl>
      <w:p w:rsidR="00B45226" w:rsidRDefault="00B40931" w:rsidP="008219E6">
        <w:pPr>
          <w:pStyle w:val="Header"/>
          <w:tabs>
            <w:tab w:val="clear" w:pos="4680"/>
            <w:tab w:val="clear" w:pos="9360"/>
            <w:tab w:val="left" w:pos="17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 P1" o:spid="_x0000_s2049" type="#_x0000_t136" style="position:absolute;margin-left:168.5pt;margin-top:5in;width:275pt;height:1in;rotation:315;z-index:251658240;mso-wrap-distance-left:1pt;mso-wrap-distance-right:1pt;mso-position-horizontal:absolute;mso-position-horizontal-relative:page;mso-position-vertical:absolute;mso-position-vertical-relative:page" fillcolor="silver" stroked="f" strokecolor="silver">
              <v:fill opacity=".5"/>
              <v:stroke r:id="rId2" o:title="" opacity=".5"/>
              <v:shadow color="#868686"/>
              <v:textpath style="font-family:&quot;Century Gothic&quot;;font-size:30pt;v-text-kern:t" trim="t" fitpath="t" string="DRAFT"/>
              <w10:wrap anchorx="page" anchory="page"/>
            </v:shape>
          </w:pict>
        </w:r>
        <w:r w:rsidR="00934C50">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31" w:rsidRDefault="00B409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 F1" o:spid="_x0000_s2051" type="#_x0000_t136" style="position:absolute;margin-left:168.5pt;margin-top:5in;width:275pt;height:1in;rotation:315;z-index:251660288;mso-wrap-distance-left:1pt;mso-wrap-distance-right:1pt;mso-position-horizontal:absolute;mso-position-horizontal-relative:page;mso-position-vertical:absolute;mso-position-vertical-relative:page" fillcolor="silver" stroked="f" strokecolor="silver">
          <v:fill opacity=".5"/>
          <v:stroke r:id="rId1" o:title="" opacity=".5"/>
          <v:shadow color="#868686"/>
          <v:textpath style="font-family:&quot;Century Gothic&quot;;font-size:30pt;v-text-kern:t" trim="t" fitpath="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1D9"/>
    <w:multiLevelType w:val="hybridMultilevel"/>
    <w:tmpl w:val="E87EC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CF2239"/>
    <w:multiLevelType w:val="hybridMultilevel"/>
    <w:tmpl w:val="3910A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704FAC"/>
    <w:multiLevelType w:val="hybridMultilevel"/>
    <w:tmpl w:val="1EBC6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8B76C5"/>
    <w:multiLevelType w:val="hybridMultilevel"/>
    <w:tmpl w:val="5D40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D85277"/>
    <w:multiLevelType w:val="hybridMultilevel"/>
    <w:tmpl w:val="ABA09CB8"/>
    <w:lvl w:ilvl="0" w:tplc="E2F46314">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F923A0"/>
    <w:multiLevelType w:val="hybridMultilevel"/>
    <w:tmpl w:val="B99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06F12"/>
    <w:multiLevelType w:val="hybridMultilevel"/>
    <w:tmpl w:val="9CDE69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1C62F7B"/>
    <w:multiLevelType w:val="hybridMultilevel"/>
    <w:tmpl w:val="3DC4EA4A"/>
    <w:lvl w:ilvl="0" w:tplc="67CA2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3D7403B"/>
    <w:multiLevelType w:val="hybridMultilevel"/>
    <w:tmpl w:val="472E418A"/>
    <w:lvl w:ilvl="0" w:tplc="429814E8">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F053DCA"/>
    <w:multiLevelType w:val="hybridMultilevel"/>
    <w:tmpl w:val="3DC4EA4A"/>
    <w:lvl w:ilvl="0" w:tplc="67CA2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1811614"/>
    <w:multiLevelType w:val="hybridMultilevel"/>
    <w:tmpl w:val="75883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2721E"/>
    <w:multiLevelType w:val="hybridMultilevel"/>
    <w:tmpl w:val="87AA0FFA"/>
    <w:lvl w:ilvl="0" w:tplc="E2F46314">
      <w:numFmt w:val="bullet"/>
      <w:lvlText w:val="-"/>
      <w:lvlJc w:val="left"/>
      <w:pPr>
        <w:ind w:left="2520" w:hanging="360"/>
      </w:pPr>
      <w:rPr>
        <w:rFonts w:ascii="Calibri" w:eastAsiaTheme="minorEastAsia"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CB01B1"/>
    <w:multiLevelType w:val="hybridMultilevel"/>
    <w:tmpl w:val="1BB67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017471"/>
    <w:multiLevelType w:val="hybridMultilevel"/>
    <w:tmpl w:val="DCE8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EB96D85"/>
    <w:multiLevelType w:val="hybridMultilevel"/>
    <w:tmpl w:val="9F54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2E6539"/>
    <w:multiLevelType w:val="hybridMultilevel"/>
    <w:tmpl w:val="EBEEC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1"/>
  </w:num>
  <w:num w:numId="4">
    <w:abstractNumId w:val="12"/>
  </w:num>
  <w:num w:numId="5">
    <w:abstractNumId w:val="0"/>
  </w:num>
  <w:num w:numId="6">
    <w:abstractNumId w:val="14"/>
  </w:num>
  <w:num w:numId="7">
    <w:abstractNumId w:val="3"/>
  </w:num>
  <w:num w:numId="8">
    <w:abstractNumId w:val="13"/>
  </w:num>
  <w:num w:numId="9">
    <w:abstractNumId w:val="6"/>
  </w:num>
  <w:num w:numId="10">
    <w:abstractNumId w:val="9"/>
  </w:num>
  <w:num w:numId="11">
    <w:abstractNumId w:val="7"/>
  </w:num>
  <w:num w:numId="12">
    <w:abstractNumId w:val="8"/>
  </w:num>
  <w:num w:numId="13">
    <w:abstractNumId w:val="4"/>
  </w:num>
  <w:num w:numId="14">
    <w:abstractNumId w:val="11"/>
  </w:num>
  <w:num w:numId="15">
    <w:abstractNumId w:val="5"/>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owley, Josha">
    <w15:presenceInfo w15:providerId="AD" w15:userId="S-1-5-21-1831736574-1690769945-617630493-532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01"/>
    <w:rsid w:val="00003F1C"/>
    <w:rsid w:val="00015560"/>
    <w:rsid w:val="00016B7C"/>
    <w:rsid w:val="00024480"/>
    <w:rsid w:val="000257F3"/>
    <w:rsid w:val="0003414E"/>
    <w:rsid w:val="0003453F"/>
    <w:rsid w:val="000433F6"/>
    <w:rsid w:val="00043F84"/>
    <w:rsid w:val="000451E1"/>
    <w:rsid w:val="00056D6E"/>
    <w:rsid w:val="000713C5"/>
    <w:rsid w:val="00077DBC"/>
    <w:rsid w:val="000839B1"/>
    <w:rsid w:val="00092BD5"/>
    <w:rsid w:val="000E3FB5"/>
    <w:rsid w:val="001073AC"/>
    <w:rsid w:val="00131151"/>
    <w:rsid w:val="001366C2"/>
    <w:rsid w:val="0014452D"/>
    <w:rsid w:val="00152839"/>
    <w:rsid w:val="00173421"/>
    <w:rsid w:val="00173ADC"/>
    <w:rsid w:val="00180B34"/>
    <w:rsid w:val="001A5982"/>
    <w:rsid w:val="001C0525"/>
    <w:rsid w:val="001C140E"/>
    <w:rsid w:val="001C19C8"/>
    <w:rsid w:val="001C212B"/>
    <w:rsid w:val="001C6FAD"/>
    <w:rsid w:val="001D4559"/>
    <w:rsid w:val="001E777D"/>
    <w:rsid w:val="001F462C"/>
    <w:rsid w:val="001F76E0"/>
    <w:rsid w:val="002062CC"/>
    <w:rsid w:val="002105A6"/>
    <w:rsid w:val="00226F26"/>
    <w:rsid w:val="00231C7A"/>
    <w:rsid w:val="00254873"/>
    <w:rsid w:val="002655B1"/>
    <w:rsid w:val="00286D8D"/>
    <w:rsid w:val="00294E52"/>
    <w:rsid w:val="00296E05"/>
    <w:rsid w:val="002E6651"/>
    <w:rsid w:val="003270D9"/>
    <w:rsid w:val="00335A66"/>
    <w:rsid w:val="003449F2"/>
    <w:rsid w:val="003477FF"/>
    <w:rsid w:val="0036157A"/>
    <w:rsid w:val="00374A28"/>
    <w:rsid w:val="00375288"/>
    <w:rsid w:val="00393511"/>
    <w:rsid w:val="003B004D"/>
    <w:rsid w:val="003B2101"/>
    <w:rsid w:val="003D2349"/>
    <w:rsid w:val="004142AD"/>
    <w:rsid w:val="00414A8A"/>
    <w:rsid w:val="00417F84"/>
    <w:rsid w:val="00464DBB"/>
    <w:rsid w:val="00470B15"/>
    <w:rsid w:val="00481DB9"/>
    <w:rsid w:val="0049295B"/>
    <w:rsid w:val="004B22A6"/>
    <w:rsid w:val="004B6DB4"/>
    <w:rsid w:val="004C5BC5"/>
    <w:rsid w:val="004F1AD3"/>
    <w:rsid w:val="004F4E9C"/>
    <w:rsid w:val="004F6CE6"/>
    <w:rsid w:val="00503AB0"/>
    <w:rsid w:val="00504231"/>
    <w:rsid w:val="00516FA6"/>
    <w:rsid w:val="00517C00"/>
    <w:rsid w:val="00526589"/>
    <w:rsid w:val="00527EF5"/>
    <w:rsid w:val="00534561"/>
    <w:rsid w:val="00541779"/>
    <w:rsid w:val="00541E1F"/>
    <w:rsid w:val="0054299A"/>
    <w:rsid w:val="00545397"/>
    <w:rsid w:val="00566FF5"/>
    <w:rsid w:val="00570FD4"/>
    <w:rsid w:val="00584C8E"/>
    <w:rsid w:val="005A274A"/>
    <w:rsid w:val="005B6DD6"/>
    <w:rsid w:val="005C34DC"/>
    <w:rsid w:val="005C5697"/>
    <w:rsid w:val="005D17DB"/>
    <w:rsid w:val="005E6145"/>
    <w:rsid w:val="005E6440"/>
    <w:rsid w:val="005E7081"/>
    <w:rsid w:val="005E7CFB"/>
    <w:rsid w:val="005E7CFF"/>
    <w:rsid w:val="005F17AD"/>
    <w:rsid w:val="00605E17"/>
    <w:rsid w:val="00610CE6"/>
    <w:rsid w:val="00617260"/>
    <w:rsid w:val="0062016E"/>
    <w:rsid w:val="00623D6A"/>
    <w:rsid w:val="00634AE4"/>
    <w:rsid w:val="0063594E"/>
    <w:rsid w:val="00645182"/>
    <w:rsid w:val="006540BD"/>
    <w:rsid w:val="00661A68"/>
    <w:rsid w:val="0066230C"/>
    <w:rsid w:val="00696A77"/>
    <w:rsid w:val="006B18D3"/>
    <w:rsid w:val="006B7511"/>
    <w:rsid w:val="006C5987"/>
    <w:rsid w:val="006D150B"/>
    <w:rsid w:val="006D1838"/>
    <w:rsid w:val="006F389A"/>
    <w:rsid w:val="00704839"/>
    <w:rsid w:val="00712757"/>
    <w:rsid w:val="007201DA"/>
    <w:rsid w:val="00722069"/>
    <w:rsid w:val="007624D9"/>
    <w:rsid w:val="00763EB5"/>
    <w:rsid w:val="007A1AB3"/>
    <w:rsid w:val="007A304C"/>
    <w:rsid w:val="007A49E0"/>
    <w:rsid w:val="007B4BDA"/>
    <w:rsid w:val="007C1A3B"/>
    <w:rsid w:val="007E05CA"/>
    <w:rsid w:val="00816E66"/>
    <w:rsid w:val="008219E6"/>
    <w:rsid w:val="00835389"/>
    <w:rsid w:val="0084223A"/>
    <w:rsid w:val="00853A77"/>
    <w:rsid w:val="008565E6"/>
    <w:rsid w:val="00862DE7"/>
    <w:rsid w:val="00864FBD"/>
    <w:rsid w:val="00865869"/>
    <w:rsid w:val="008A2C5E"/>
    <w:rsid w:val="008A7CDB"/>
    <w:rsid w:val="008B46A6"/>
    <w:rsid w:val="008F056E"/>
    <w:rsid w:val="008F555D"/>
    <w:rsid w:val="00902AB0"/>
    <w:rsid w:val="00906D8C"/>
    <w:rsid w:val="009113F0"/>
    <w:rsid w:val="00934C50"/>
    <w:rsid w:val="00946872"/>
    <w:rsid w:val="0097404F"/>
    <w:rsid w:val="00983E81"/>
    <w:rsid w:val="009B495D"/>
    <w:rsid w:val="009B4E89"/>
    <w:rsid w:val="00A0058E"/>
    <w:rsid w:val="00A13EA2"/>
    <w:rsid w:val="00A33D0C"/>
    <w:rsid w:val="00A34AB7"/>
    <w:rsid w:val="00A36A5F"/>
    <w:rsid w:val="00A44D3C"/>
    <w:rsid w:val="00A53DE4"/>
    <w:rsid w:val="00A72613"/>
    <w:rsid w:val="00A74239"/>
    <w:rsid w:val="00A86CD7"/>
    <w:rsid w:val="00AB5229"/>
    <w:rsid w:val="00AB694D"/>
    <w:rsid w:val="00AC4D97"/>
    <w:rsid w:val="00AD7257"/>
    <w:rsid w:val="00B11B33"/>
    <w:rsid w:val="00B352E1"/>
    <w:rsid w:val="00B40931"/>
    <w:rsid w:val="00B40D7A"/>
    <w:rsid w:val="00B44A78"/>
    <w:rsid w:val="00B45226"/>
    <w:rsid w:val="00B4688B"/>
    <w:rsid w:val="00B47E94"/>
    <w:rsid w:val="00B549A5"/>
    <w:rsid w:val="00B7184F"/>
    <w:rsid w:val="00B80DDD"/>
    <w:rsid w:val="00B878EA"/>
    <w:rsid w:val="00BA7E0E"/>
    <w:rsid w:val="00BB0D9A"/>
    <w:rsid w:val="00BB286B"/>
    <w:rsid w:val="00BC569E"/>
    <w:rsid w:val="00BD448C"/>
    <w:rsid w:val="00BF1B75"/>
    <w:rsid w:val="00BF20CB"/>
    <w:rsid w:val="00C10646"/>
    <w:rsid w:val="00C1268A"/>
    <w:rsid w:val="00C26FD5"/>
    <w:rsid w:val="00C33AED"/>
    <w:rsid w:val="00C51681"/>
    <w:rsid w:val="00C52178"/>
    <w:rsid w:val="00C5772D"/>
    <w:rsid w:val="00C76BA2"/>
    <w:rsid w:val="00CD3186"/>
    <w:rsid w:val="00CD6EEA"/>
    <w:rsid w:val="00CE7B6B"/>
    <w:rsid w:val="00D03D65"/>
    <w:rsid w:val="00D344EB"/>
    <w:rsid w:val="00D45C24"/>
    <w:rsid w:val="00D506E0"/>
    <w:rsid w:val="00D526B3"/>
    <w:rsid w:val="00D7125B"/>
    <w:rsid w:val="00D734B9"/>
    <w:rsid w:val="00D738EB"/>
    <w:rsid w:val="00D847E6"/>
    <w:rsid w:val="00DA4220"/>
    <w:rsid w:val="00DC712F"/>
    <w:rsid w:val="00DD7E23"/>
    <w:rsid w:val="00E03F39"/>
    <w:rsid w:val="00E06E95"/>
    <w:rsid w:val="00E21798"/>
    <w:rsid w:val="00E3459C"/>
    <w:rsid w:val="00E5024A"/>
    <w:rsid w:val="00E50650"/>
    <w:rsid w:val="00E613CE"/>
    <w:rsid w:val="00E71CC2"/>
    <w:rsid w:val="00E930AC"/>
    <w:rsid w:val="00EA7708"/>
    <w:rsid w:val="00EB040D"/>
    <w:rsid w:val="00EB29E0"/>
    <w:rsid w:val="00EB2BEA"/>
    <w:rsid w:val="00EC725F"/>
    <w:rsid w:val="00EF3BC2"/>
    <w:rsid w:val="00F016C3"/>
    <w:rsid w:val="00F02ED6"/>
    <w:rsid w:val="00F1183E"/>
    <w:rsid w:val="00F13BC4"/>
    <w:rsid w:val="00F27668"/>
    <w:rsid w:val="00F35D79"/>
    <w:rsid w:val="00F37D1A"/>
    <w:rsid w:val="00F426FA"/>
    <w:rsid w:val="00F64C0E"/>
    <w:rsid w:val="00F67252"/>
    <w:rsid w:val="00F71210"/>
    <w:rsid w:val="00F827A6"/>
    <w:rsid w:val="00F87C3E"/>
    <w:rsid w:val="00F97934"/>
    <w:rsid w:val="00FA7B6C"/>
    <w:rsid w:val="00FB119F"/>
    <w:rsid w:val="00FD1A05"/>
    <w:rsid w:val="00FE5C8C"/>
    <w:rsid w:val="00FE600D"/>
    <w:rsid w:val="00FF686B"/>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1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01"/>
    <w:rPr>
      <w:rFonts w:ascii="Tahoma" w:hAnsi="Tahoma" w:cs="Tahoma"/>
      <w:sz w:val="16"/>
      <w:szCs w:val="16"/>
    </w:rPr>
  </w:style>
  <w:style w:type="paragraph" w:styleId="Header">
    <w:name w:val="header"/>
    <w:basedOn w:val="Normal"/>
    <w:link w:val="HeaderChar"/>
    <w:uiPriority w:val="99"/>
    <w:unhideWhenUsed/>
    <w:rsid w:val="00B45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226"/>
  </w:style>
  <w:style w:type="paragraph" w:styleId="Footer">
    <w:name w:val="footer"/>
    <w:basedOn w:val="Normal"/>
    <w:link w:val="FooterChar"/>
    <w:uiPriority w:val="99"/>
    <w:unhideWhenUsed/>
    <w:rsid w:val="00B4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226"/>
  </w:style>
  <w:style w:type="paragraph" w:styleId="ListParagraph">
    <w:name w:val="List Paragraph"/>
    <w:basedOn w:val="Normal"/>
    <w:uiPriority w:val="34"/>
    <w:qFormat/>
    <w:rsid w:val="00C26FD5"/>
    <w:pPr>
      <w:ind w:left="720"/>
      <w:contextualSpacing/>
    </w:pPr>
  </w:style>
  <w:style w:type="character" w:styleId="Hyperlink">
    <w:name w:val="Hyperlink"/>
    <w:basedOn w:val="DefaultParagraphFont"/>
    <w:uiPriority w:val="99"/>
    <w:unhideWhenUsed/>
    <w:rsid w:val="00E50650"/>
    <w:rPr>
      <w:color w:val="0000FF" w:themeColor="hyperlink"/>
      <w:u w:val="single"/>
    </w:rPr>
  </w:style>
  <w:style w:type="character" w:styleId="FollowedHyperlink">
    <w:name w:val="FollowedHyperlink"/>
    <w:basedOn w:val="DefaultParagraphFont"/>
    <w:uiPriority w:val="99"/>
    <w:semiHidden/>
    <w:unhideWhenUsed/>
    <w:rsid w:val="00BB286B"/>
    <w:rPr>
      <w:color w:val="800080" w:themeColor="followedHyperlink"/>
      <w:u w:val="single"/>
    </w:rPr>
  </w:style>
  <w:style w:type="paragraph" w:styleId="Revision">
    <w:name w:val="Revision"/>
    <w:hidden/>
    <w:uiPriority w:val="99"/>
    <w:semiHidden/>
    <w:rsid w:val="00712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1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101"/>
    <w:rPr>
      <w:rFonts w:ascii="Tahoma" w:hAnsi="Tahoma" w:cs="Tahoma"/>
      <w:sz w:val="16"/>
      <w:szCs w:val="16"/>
    </w:rPr>
  </w:style>
  <w:style w:type="paragraph" w:styleId="Header">
    <w:name w:val="header"/>
    <w:basedOn w:val="Normal"/>
    <w:link w:val="HeaderChar"/>
    <w:uiPriority w:val="99"/>
    <w:unhideWhenUsed/>
    <w:rsid w:val="00B45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226"/>
  </w:style>
  <w:style w:type="paragraph" w:styleId="Footer">
    <w:name w:val="footer"/>
    <w:basedOn w:val="Normal"/>
    <w:link w:val="FooterChar"/>
    <w:uiPriority w:val="99"/>
    <w:unhideWhenUsed/>
    <w:rsid w:val="00B45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226"/>
  </w:style>
  <w:style w:type="paragraph" w:styleId="ListParagraph">
    <w:name w:val="List Paragraph"/>
    <w:basedOn w:val="Normal"/>
    <w:uiPriority w:val="34"/>
    <w:qFormat/>
    <w:rsid w:val="00C26FD5"/>
    <w:pPr>
      <w:ind w:left="720"/>
      <w:contextualSpacing/>
    </w:pPr>
  </w:style>
  <w:style w:type="character" w:styleId="Hyperlink">
    <w:name w:val="Hyperlink"/>
    <w:basedOn w:val="DefaultParagraphFont"/>
    <w:uiPriority w:val="99"/>
    <w:unhideWhenUsed/>
    <w:rsid w:val="00E50650"/>
    <w:rPr>
      <w:color w:val="0000FF" w:themeColor="hyperlink"/>
      <w:u w:val="single"/>
    </w:rPr>
  </w:style>
  <w:style w:type="character" w:styleId="FollowedHyperlink">
    <w:name w:val="FollowedHyperlink"/>
    <w:basedOn w:val="DefaultParagraphFont"/>
    <w:uiPriority w:val="99"/>
    <w:semiHidden/>
    <w:unhideWhenUsed/>
    <w:rsid w:val="00BB286B"/>
    <w:rPr>
      <w:color w:val="800080" w:themeColor="followedHyperlink"/>
      <w:u w:val="single"/>
    </w:rPr>
  </w:style>
  <w:style w:type="paragraph" w:styleId="Revision">
    <w:name w:val="Revision"/>
    <w:hidden/>
    <w:uiPriority w:val="99"/>
    <w:semiHidden/>
    <w:rsid w:val="00712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coastal-flood-risk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Stantec Consulting Ltd.</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 Emily Whitehead</cp:lastModifiedBy>
  <cp:revision>50</cp:revision>
  <cp:lastPrinted>2015-12-09T21:28:00Z</cp:lastPrinted>
  <dcterms:created xsi:type="dcterms:W3CDTF">2016-01-27T20:33:00Z</dcterms:created>
  <dcterms:modified xsi:type="dcterms:W3CDTF">2016-09-07T18:56:00Z</dcterms:modified>
</cp:coreProperties>
</file>