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B6599" w14:textId="77777777" w:rsidR="003C3E73" w:rsidRPr="00B0299F" w:rsidRDefault="003C3E73" w:rsidP="003C3E73">
      <w:pPr>
        <w:jc w:val="center"/>
        <w:rPr>
          <w:szCs w:val="24"/>
        </w:rPr>
      </w:pPr>
      <w:r w:rsidRPr="00B0299F">
        <w:rPr>
          <w:szCs w:val="24"/>
          <w:u w:val="single"/>
        </w:rPr>
        <w:t>FINDING OF EMERGENCY</w:t>
      </w:r>
    </w:p>
    <w:p w14:paraId="76556F47" w14:textId="77777777" w:rsidR="003C3E73" w:rsidRDefault="003C3E73" w:rsidP="003C3E73">
      <w:pPr>
        <w:rPr>
          <w:szCs w:val="24"/>
        </w:rPr>
      </w:pPr>
    </w:p>
    <w:p w14:paraId="469AE8AF" w14:textId="77777777" w:rsidR="003C3E73" w:rsidRPr="00E64C84" w:rsidRDefault="003C3E73" w:rsidP="00E64C84">
      <w:pPr>
        <w:rPr>
          <w:szCs w:val="24"/>
        </w:rPr>
      </w:pPr>
    </w:p>
    <w:p w14:paraId="69AA4265" w14:textId="005E035C" w:rsidR="00E64C84" w:rsidRDefault="003C3E73" w:rsidP="00E64C84">
      <w:pPr>
        <w:rPr>
          <w:szCs w:val="24"/>
        </w:rPr>
      </w:pPr>
      <w:r w:rsidRPr="00E64C84">
        <w:rPr>
          <w:szCs w:val="24"/>
        </w:rPr>
        <w:t xml:space="preserve">The </w:t>
      </w:r>
      <w:r w:rsidR="00E25F59" w:rsidRPr="00E64C84">
        <w:rPr>
          <w:szCs w:val="24"/>
        </w:rPr>
        <w:t>Alcoholic Beverage Control Board</w:t>
      </w:r>
      <w:r w:rsidR="00207182" w:rsidRPr="00E64C84">
        <w:rPr>
          <w:szCs w:val="24"/>
        </w:rPr>
        <w:t xml:space="preserve"> </w:t>
      </w:r>
      <w:r w:rsidRPr="00E64C84">
        <w:rPr>
          <w:szCs w:val="24"/>
        </w:rPr>
        <w:t>finds that an emergency exists and that the attached regulation</w:t>
      </w:r>
      <w:r w:rsidR="0055604C">
        <w:rPr>
          <w:szCs w:val="24"/>
        </w:rPr>
        <w:t xml:space="preserve">s are </w:t>
      </w:r>
      <w:r w:rsidRPr="00E64C84">
        <w:rPr>
          <w:szCs w:val="24"/>
        </w:rPr>
        <w:t>necessary for the immediate preservation of the public peace, health, safety, or general welfare. The facts constituting the emergency include the following:</w:t>
      </w:r>
    </w:p>
    <w:p w14:paraId="31B38596" w14:textId="4F18A8EE" w:rsidR="00F93C35" w:rsidRDefault="00F93C35" w:rsidP="00E64C84">
      <w:pPr>
        <w:rPr>
          <w:szCs w:val="24"/>
        </w:rPr>
      </w:pPr>
    </w:p>
    <w:p w14:paraId="2D8959A5" w14:textId="3F1D4222" w:rsidR="00F93C35" w:rsidRDefault="00F93C35" w:rsidP="00F93C35">
      <w:r>
        <w:rPr>
          <w:szCs w:val="24"/>
        </w:rPr>
        <w:t xml:space="preserve">On March 11, 2020, the governor declared a public health disaster emergency under AS 26.23.020 due to the spread of COVID-19. </w:t>
      </w:r>
      <w:r>
        <w:t>The Center for Disease Control and Alaska Department of Health and Social Services have warned that COVID-19 is highly contagious and that physical distancing is paramount to containing the spread of the virus. Alaska instituted p</w:t>
      </w:r>
      <w:r>
        <w:rPr>
          <w:szCs w:val="24"/>
        </w:rPr>
        <w:t>ublic health mandates requiring that individuals maintain physical distance from people who are not members of the person’s household. The mandates allow for the continued operation of businesses that provide essential services and supplies and businesses where people can maintain the required social distance when inside.</w:t>
      </w:r>
    </w:p>
    <w:p w14:paraId="1965DB62" w14:textId="77777777" w:rsidR="00F93C35" w:rsidRDefault="00F93C35" w:rsidP="00F93C35"/>
    <w:p w14:paraId="001587BC" w14:textId="3217C6BF" w:rsidR="00F93C35" w:rsidRDefault="00F93C35" w:rsidP="00F93C35">
      <w:pPr>
        <w:rPr>
          <w:szCs w:val="24"/>
        </w:rPr>
      </w:pPr>
      <w:r w:rsidRPr="00F93C35">
        <w:rPr>
          <w:szCs w:val="24"/>
        </w:rPr>
        <w:t>Stores providing essentials, such as groceries and pharmaceuticals, are implementing strict measures to maintain physical distance and increasing the availability of drive-through and curbside pick-up and home delivery options.</w:t>
      </w:r>
      <w:r>
        <w:rPr>
          <w:szCs w:val="24"/>
        </w:rPr>
        <w:t xml:space="preserve"> </w:t>
      </w:r>
      <w:r w:rsidRPr="00F93C35">
        <w:rPr>
          <w:szCs w:val="24"/>
        </w:rPr>
        <w:t>The board anticipates that so long as patrons are able to enter the premises of alcohol licensees for purchasing, it is necessary to take every possible step to protect the health and safety of those patrons and employees by providing purchasing opportunities that minimize physical distance between patrons and employees.</w:t>
      </w:r>
    </w:p>
    <w:p w14:paraId="4D65CA73" w14:textId="55148CBF" w:rsidR="00F93C35" w:rsidRDefault="00F93C35" w:rsidP="00F93C35">
      <w:pPr>
        <w:rPr>
          <w:szCs w:val="24"/>
        </w:rPr>
      </w:pPr>
    </w:p>
    <w:p w14:paraId="1068559B" w14:textId="665FAEF9" w:rsidR="00F93C35" w:rsidRDefault="00F93C35" w:rsidP="00F93C35">
      <w:pPr>
        <w:rPr>
          <w:szCs w:val="24"/>
        </w:rPr>
      </w:pPr>
      <w:r>
        <w:rPr>
          <w:szCs w:val="24"/>
        </w:rPr>
        <w:t>The governor suspended the following statutes in Title 4, relating to the sales of alcoholic beverages</w:t>
      </w:r>
      <w:r w:rsidR="00046FB8">
        <w:rPr>
          <w:szCs w:val="24"/>
        </w:rPr>
        <w:t xml:space="preserve">. </w:t>
      </w:r>
    </w:p>
    <w:p w14:paraId="7FC86430" w14:textId="45B88E8E" w:rsidR="00046FB8" w:rsidRDefault="00046FB8" w:rsidP="00F93C35">
      <w:pPr>
        <w:rPr>
          <w:szCs w:val="24"/>
        </w:rPr>
      </w:pPr>
    </w:p>
    <w:p w14:paraId="4B9B22FB" w14:textId="77777777" w:rsidR="00046FB8" w:rsidRPr="00BA59A8" w:rsidRDefault="00046FB8" w:rsidP="00046FB8">
      <w:pPr>
        <w:rPr>
          <w:b/>
          <w:bCs/>
          <w:szCs w:val="24"/>
          <w:u w:val="single"/>
        </w:rPr>
      </w:pPr>
      <w:r w:rsidRPr="00BA59A8">
        <w:rPr>
          <w:b/>
          <w:bCs/>
          <w:szCs w:val="24"/>
          <w:u w:val="single"/>
        </w:rPr>
        <w:t xml:space="preserve">Suspended as of </w:t>
      </w:r>
      <w:r>
        <w:rPr>
          <w:b/>
          <w:bCs/>
          <w:szCs w:val="24"/>
          <w:u w:val="single"/>
        </w:rPr>
        <w:t>April 14,</w:t>
      </w:r>
      <w:r w:rsidRPr="00BA59A8">
        <w:rPr>
          <w:b/>
          <w:bCs/>
          <w:szCs w:val="24"/>
          <w:u w:val="single"/>
        </w:rPr>
        <w:t xml:space="preserve"> 2020</w:t>
      </w:r>
    </w:p>
    <w:tbl>
      <w:tblPr>
        <w:tblW w:w="0" w:type="auto"/>
        <w:tblCellMar>
          <w:left w:w="0" w:type="dxa"/>
          <w:right w:w="0" w:type="dxa"/>
        </w:tblCellMar>
        <w:tblLook w:val="04A0" w:firstRow="1" w:lastRow="0" w:firstColumn="1" w:lastColumn="0" w:noHBand="0" w:noVBand="1"/>
      </w:tblPr>
      <w:tblGrid>
        <w:gridCol w:w="2064"/>
        <w:gridCol w:w="634"/>
        <w:gridCol w:w="2261"/>
        <w:gridCol w:w="4341"/>
        <w:gridCol w:w="60"/>
      </w:tblGrid>
      <w:tr w:rsidR="00046FB8" w:rsidRPr="00691FEB" w14:paraId="69E910E7" w14:textId="77777777" w:rsidTr="005D46C6">
        <w:tc>
          <w:tcPr>
            <w:tcW w:w="2064" w:type="dxa"/>
            <w:tcMar>
              <w:top w:w="0" w:type="dxa"/>
              <w:left w:w="108" w:type="dxa"/>
              <w:bottom w:w="0" w:type="dxa"/>
              <w:right w:w="108" w:type="dxa"/>
            </w:tcMar>
            <w:hideMark/>
          </w:tcPr>
          <w:p w14:paraId="1999C64F" w14:textId="77777777" w:rsidR="00046FB8" w:rsidRPr="005B4B2A" w:rsidRDefault="00046FB8" w:rsidP="005D46C6">
            <w:pPr>
              <w:rPr>
                <w:color w:val="201F1E"/>
                <w:szCs w:val="24"/>
              </w:rPr>
            </w:pPr>
            <w:r w:rsidRPr="005B4B2A">
              <w:rPr>
                <w:color w:val="201F1E"/>
                <w:szCs w:val="24"/>
                <w:u w:val="single"/>
              </w:rPr>
              <w:t>Authority</w:t>
            </w:r>
          </w:p>
        </w:tc>
        <w:tc>
          <w:tcPr>
            <w:tcW w:w="634" w:type="dxa"/>
            <w:tcMar>
              <w:top w:w="0" w:type="dxa"/>
              <w:left w:w="108" w:type="dxa"/>
              <w:bottom w:w="0" w:type="dxa"/>
              <w:right w:w="108" w:type="dxa"/>
            </w:tcMar>
            <w:hideMark/>
          </w:tcPr>
          <w:p w14:paraId="3B599759" w14:textId="77777777" w:rsidR="00046FB8" w:rsidRPr="005B4B2A" w:rsidRDefault="00046FB8" w:rsidP="005D46C6">
            <w:pPr>
              <w:rPr>
                <w:color w:val="201F1E"/>
                <w:szCs w:val="24"/>
              </w:rPr>
            </w:pPr>
            <w:r w:rsidRPr="005B4B2A">
              <w:rPr>
                <w:b/>
                <w:bCs/>
                <w:color w:val="201F1E"/>
                <w:szCs w:val="24"/>
              </w:rPr>
              <w:t> </w:t>
            </w:r>
          </w:p>
        </w:tc>
        <w:tc>
          <w:tcPr>
            <w:tcW w:w="2261" w:type="dxa"/>
            <w:tcMar>
              <w:top w:w="0" w:type="dxa"/>
              <w:left w:w="108" w:type="dxa"/>
              <w:bottom w:w="0" w:type="dxa"/>
              <w:right w:w="108" w:type="dxa"/>
            </w:tcMar>
            <w:hideMark/>
          </w:tcPr>
          <w:p w14:paraId="770FF238" w14:textId="77777777" w:rsidR="00046FB8" w:rsidRPr="005B4B2A" w:rsidRDefault="00046FB8" w:rsidP="005D46C6">
            <w:pPr>
              <w:rPr>
                <w:color w:val="201F1E"/>
                <w:szCs w:val="24"/>
              </w:rPr>
            </w:pPr>
            <w:r w:rsidRPr="005B4B2A">
              <w:rPr>
                <w:color w:val="201F1E"/>
                <w:szCs w:val="24"/>
                <w:u w:val="single"/>
              </w:rPr>
              <w:t xml:space="preserve">Division </w:t>
            </w:r>
          </w:p>
        </w:tc>
        <w:tc>
          <w:tcPr>
            <w:tcW w:w="4401" w:type="dxa"/>
            <w:gridSpan w:val="2"/>
            <w:tcMar>
              <w:top w:w="0" w:type="dxa"/>
              <w:left w:w="108" w:type="dxa"/>
              <w:bottom w:w="0" w:type="dxa"/>
              <w:right w:w="108" w:type="dxa"/>
            </w:tcMar>
            <w:hideMark/>
          </w:tcPr>
          <w:p w14:paraId="39CC33B9" w14:textId="77777777" w:rsidR="00046FB8" w:rsidRPr="005B4B2A" w:rsidRDefault="00046FB8" w:rsidP="005D46C6">
            <w:pPr>
              <w:rPr>
                <w:color w:val="201F1E"/>
                <w:szCs w:val="24"/>
              </w:rPr>
            </w:pPr>
            <w:r w:rsidRPr="005B4B2A">
              <w:rPr>
                <w:color w:val="201F1E"/>
                <w:szCs w:val="24"/>
                <w:u w:val="single"/>
              </w:rPr>
              <w:t>Suspended as described below</w:t>
            </w:r>
          </w:p>
        </w:tc>
      </w:tr>
      <w:tr w:rsidR="00046FB8" w:rsidRPr="00691FEB" w14:paraId="58B5FF9A" w14:textId="77777777" w:rsidTr="005D46C6">
        <w:tc>
          <w:tcPr>
            <w:tcW w:w="2698" w:type="dxa"/>
            <w:gridSpan w:val="2"/>
            <w:shd w:val="clear" w:color="auto" w:fill="F2F2F2"/>
            <w:tcMar>
              <w:top w:w="0" w:type="dxa"/>
              <w:left w:w="108" w:type="dxa"/>
              <w:bottom w:w="0" w:type="dxa"/>
              <w:right w:w="108" w:type="dxa"/>
            </w:tcMar>
            <w:hideMark/>
          </w:tcPr>
          <w:p w14:paraId="2D3A5FCF" w14:textId="77777777" w:rsidR="00046FB8" w:rsidRPr="005B4B2A" w:rsidRDefault="00046FB8" w:rsidP="005D46C6">
            <w:pPr>
              <w:rPr>
                <w:color w:val="201F1E"/>
                <w:szCs w:val="24"/>
              </w:rPr>
            </w:pPr>
            <w:r w:rsidRPr="00691FEB">
              <w:rPr>
                <w:color w:val="000000"/>
                <w:szCs w:val="24"/>
                <w:bdr w:val="none" w:sz="0" w:space="0" w:color="auto" w:frame="1"/>
              </w:rPr>
              <w:t>AS 04.11.090</w:t>
            </w:r>
          </w:p>
        </w:tc>
        <w:tc>
          <w:tcPr>
            <w:tcW w:w="2261" w:type="dxa"/>
            <w:shd w:val="clear" w:color="auto" w:fill="F2F2F2"/>
            <w:tcMar>
              <w:top w:w="0" w:type="dxa"/>
              <w:left w:w="108" w:type="dxa"/>
              <w:bottom w:w="0" w:type="dxa"/>
              <w:right w:w="108" w:type="dxa"/>
            </w:tcMar>
            <w:hideMark/>
          </w:tcPr>
          <w:p w14:paraId="337A65A3" w14:textId="77777777" w:rsidR="00046FB8" w:rsidRPr="005B4B2A" w:rsidRDefault="00046FB8" w:rsidP="005D46C6">
            <w:pPr>
              <w:rPr>
                <w:color w:val="201F1E"/>
                <w:szCs w:val="24"/>
              </w:rPr>
            </w:pPr>
            <w:r w:rsidRPr="00691FEB">
              <w:rPr>
                <w:color w:val="000000"/>
                <w:szCs w:val="24"/>
                <w:bdr w:val="none" w:sz="0" w:space="0" w:color="auto" w:frame="1"/>
              </w:rPr>
              <w:t>AMCO</w:t>
            </w:r>
          </w:p>
        </w:tc>
        <w:tc>
          <w:tcPr>
            <w:tcW w:w="4341" w:type="dxa"/>
            <w:shd w:val="clear" w:color="auto" w:fill="F2F2F2"/>
            <w:tcMar>
              <w:top w:w="0" w:type="dxa"/>
              <w:left w:w="108" w:type="dxa"/>
              <w:bottom w:w="0" w:type="dxa"/>
              <w:right w:w="108" w:type="dxa"/>
            </w:tcMar>
            <w:hideMark/>
          </w:tcPr>
          <w:p w14:paraId="7999E518" w14:textId="77777777" w:rsidR="00046FB8" w:rsidRPr="005B4B2A" w:rsidRDefault="00046FB8" w:rsidP="005D46C6">
            <w:pPr>
              <w:rPr>
                <w:color w:val="201F1E"/>
                <w:szCs w:val="24"/>
              </w:rPr>
            </w:pPr>
            <w:r w:rsidRPr="00691FEB">
              <w:rPr>
                <w:color w:val="000000"/>
                <w:szCs w:val="24"/>
                <w:bdr w:val="none" w:sz="0" w:space="0" w:color="auto" w:frame="1"/>
              </w:rPr>
              <w:t xml:space="preserve">Suspension of the statute only to the extent necessary to allow for: (1) curbside pickup of alcohol; and (2) delivery of beer and wine when included with an order of food being delivered by a licensed restaurant or eating place establishment.  </w:t>
            </w:r>
          </w:p>
        </w:tc>
        <w:tc>
          <w:tcPr>
            <w:tcW w:w="60" w:type="dxa"/>
            <w:vAlign w:val="center"/>
            <w:hideMark/>
          </w:tcPr>
          <w:p w14:paraId="1FF6C37B" w14:textId="77777777" w:rsidR="00046FB8" w:rsidRPr="00691FEB" w:rsidRDefault="00046FB8" w:rsidP="005D46C6">
            <w:pPr>
              <w:rPr>
                <w:color w:val="201F1E"/>
                <w:szCs w:val="24"/>
              </w:rPr>
            </w:pPr>
            <w:r w:rsidRPr="00691FEB">
              <w:rPr>
                <w:color w:val="201F1E"/>
                <w:szCs w:val="24"/>
              </w:rPr>
              <w:t> </w:t>
            </w:r>
          </w:p>
        </w:tc>
      </w:tr>
      <w:tr w:rsidR="00046FB8" w:rsidRPr="00691FEB" w14:paraId="360635EB" w14:textId="77777777" w:rsidTr="005D46C6">
        <w:tc>
          <w:tcPr>
            <w:tcW w:w="2698" w:type="dxa"/>
            <w:gridSpan w:val="2"/>
            <w:tcMar>
              <w:top w:w="0" w:type="dxa"/>
              <w:left w:w="108" w:type="dxa"/>
              <w:bottom w:w="0" w:type="dxa"/>
              <w:right w:w="108" w:type="dxa"/>
            </w:tcMar>
            <w:hideMark/>
          </w:tcPr>
          <w:p w14:paraId="591BA071" w14:textId="77777777" w:rsidR="00046FB8" w:rsidRPr="005B4B2A" w:rsidRDefault="00046FB8" w:rsidP="005D46C6">
            <w:pPr>
              <w:rPr>
                <w:color w:val="201F1E"/>
                <w:szCs w:val="24"/>
              </w:rPr>
            </w:pPr>
            <w:r w:rsidRPr="005B4B2A">
              <w:rPr>
                <w:color w:val="201F1E"/>
                <w:szCs w:val="24"/>
              </w:rPr>
              <w:t>AS 04.11.100</w:t>
            </w:r>
          </w:p>
        </w:tc>
        <w:tc>
          <w:tcPr>
            <w:tcW w:w="2261" w:type="dxa"/>
            <w:tcMar>
              <w:top w:w="0" w:type="dxa"/>
              <w:left w:w="108" w:type="dxa"/>
              <w:bottom w:w="0" w:type="dxa"/>
              <w:right w:w="108" w:type="dxa"/>
            </w:tcMar>
            <w:hideMark/>
          </w:tcPr>
          <w:p w14:paraId="13E705AA" w14:textId="77777777" w:rsidR="00046FB8" w:rsidRPr="00691FEB" w:rsidRDefault="00046FB8" w:rsidP="005D46C6">
            <w:pPr>
              <w:rPr>
                <w:color w:val="201F1E"/>
                <w:szCs w:val="24"/>
              </w:rPr>
            </w:pPr>
            <w:r w:rsidRPr="00691FEB">
              <w:rPr>
                <w:color w:val="201F1E"/>
                <w:szCs w:val="24"/>
              </w:rPr>
              <w:t>AMCO</w:t>
            </w:r>
          </w:p>
        </w:tc>
        <w:tc>
          <w:tcPr>
            <w:tcW w:w="4341" w:type="dxa"/>
            <w:tcMar>
              <w:top w:w="0" w:type="dxa"/>
              <w:left w:w="108" w:type="dxa"/>
              <w:bottom w:w="0" w:type="dxa"/>
              <w:right w:w="108" w:type="dxa"/>
            </w:tcMar>
            <w:hideMark/>
          </w:tcPr>
          <w:p w14:paraId="20D112D7" w14:textId="77777777" w:rsidR="00046FB8" w:rsidRPr="00691FEB" w:rsidRDefault="00046FB8" w:rsidP="005D46C6">
            <w:pPr>
              <w:rPr>
                <w:color w:val="201F1E"/>
                <w:szCs w:val="24"/>
              </w:rPr>
            </w:pPr>
            <w:r w:rsidRPr="00691FEB">
              <w:rPr>
                <w:color w:val="000000"/>
                <w:szCs w:val="24"/>
                <w:bdr w:val="none" w:sz="0" w:space="0" w:color="auto" w:frame="1"/>
              </w:rPr>
              <w:t xml:space="preserve">Suspension of the statute only to the extent necessary to allow for: (1) curbside pickup of alcohol; and (2) delivery of beer and wine when included with an order of food being delivered by a licensed restaurant or eating place establishment.  </w:t>
            </w:r>
            <w:r w:rsidRPr="00691FEB">
              <w:rPr>
                <w:color w:val="201F1E"/>
                <w:szCs w:val="24"/>
              </w:rPr>
              <w:t>.</w:t>
            </w:r>
          </w:p>
        </w:tc>
        <w:tc>
          <w:tcPr>
            <w:tcW w:w="60" w:type="dxa"/>
            <w:vAlign w:val="center"/>
            <w:hideMark/>
          </w:tcPr>
          <w:p w14:paraId="0FCC91E8" w14:textId="77777777" w:rsidR="00046FB8" w:rsidRPr="00691FEB" w:rsidRDefault="00046FB8" w:rsidP="005D46C6">
            <w:pPr>
              <w:rPr>
                <w:color w:val="201F1E"/>
                <w:szCs w:val="24"/>
              </w:rPr>
            </w:pPr>
            <w:r w:rsidRPr="00691FEB">
              <w:rPr>
                <w:color w:val="201F1E"/>
                <w:szCs w:val="24"/>
              </w:rPr>
              <w:t> </w:t>
            </w:r>
          </w:p>
        </w:tc>
      </w:tr>
      <w:tr w:rsidR="00046FB8" w:rsidRPr="00691FEB" w14:paraId="65604E2E" w14:textId="77777777" w:rsidTr="005D46C6">
        <w:tc>
          <w:tcPr>
            <w:tcW w:w="2698" w:type="dxa"/>
            <w:gridSpan w:val="2"/>
            <w:shd w:val="clear" w:color="auto" w:fill="F2F2F2"/>
            <w:tcMar>
              <w:top w:w="0" w:type="dxa"/>
              <w:left w:w="108" w:type="dxa"/>
              <w:bottom w:w="0" w:type="dxa"/>
              <w:right w:w="108" w:type="dxa"/>
            </w:tcMar>
            <w:hideMark/>
          </w:tcPr>
          <w:p w14:paraId="274F3A89" w14:textId="77777777" w:rsidR="00046FB8" w:rsidRPr="005B4B2A" w:rsidRDefault="00046FB8" w:rsidP="005D46C6">
            <w:pPr>
              <w:rPr>
                <w:color w:val="201F1E"/>
                <w:szCs w:val="24"/>
              </w:rPr>
            </w:pPr>
            <w:r w:rsidRPr="00691FEB">
              <w:rPr>
                <w:color w:val="000000"/>
                <w:szCs w:val="24"/>
                <w:bdr w:val="none" w:sz="0" w:space="0" w:color="auto" w:frame="1"/>
              </w:rPr>
              <w:t>AS 04.11.130(b)(1)</w:t>
            </w:r>
          </w:p>
        </w:tc>
        <w:tc>
          <w:tcPr>
            <w:tcW w:w="2261" w:type="dxa"/>
            <w:shd w:val="clear" w:color="auto" w:fill="F2F2F2"/>
            <w:tcMar>
              <w:top w:w="0" w:type="dxa"/>
              <w:left w:w="108" w:type="dxa"/>
              <w:bottom w:w="0" w:type="dxa"/>
              <w:right w:w="108" w:type="dxa"/>
            </w:tcMar>
            <w:hideMark/>
          </w:tcPr>
          <w:p w14:paraId="25855C28" w14:textId="77777777" w:rsidR="00046FB8" w:rsidRPr="005B4B2A" w:rsidRDefault="00046FB8" w:rsidP="005D46C6">
            <w:pPr>
              <w:rPr>
                <w:color w:val="201F1E"/>
                <w:szCs w:val="24"/>
              </w:rPr>
            </w:pPr>
            <w:r w:rsidRPr="00691FEB">
              <w:rPr>
                <w:color w:val="000000"/>
                <w:szCs w:val="24"/>
                <w:bdr w:val="none" w:sz="0" w:space="0" w:color="auto" w:frame="1"/>
              </w:rPr>
              <w:t>AMCO</w:t>
            </w:r>
          </w:p>
        </w:tc>
        <w:tc>
          <w:tcPr>
            <w:tcW w:w="4341" w:type="dxa"/>
            <w:shd w:val="clear" w:color="auto" w:fill="F2F2F2"/>
            <w:tcMar>
              <w:top w:w="0" w:type="dxa"/>
              <w:left w:w="108" w:type="dxa"/>
              <w:bottom w:w="0" w:type="dxa"/>
              <w:right w:w="108" w:type="dxa"/>
            </w:tcMar>
            <w:hideMark/>
          </w:tcPr>
          <w:p w14:paraId="082D41D4" w14:textId="77777777" w:rsidR="00046FB8" w:rsidRPr="005B4B2A" w:rsidRDefault="00046FB8" w:rsidP="005D46C6">
            <w:pPr>
              <w:rPr>
                <w:color w:val="201F1E"/>
                <w:szCs w:val="24"/>
              </w:rPr>
            </w:pPr>
            <w:r w:rsidRPr="00691FEB">
              <w:rPr>
                <w:color w:val="000000"/>
                <w:szCs w:val="24"/>
                <w:bdr w:val="none" w:sz="0" w:space="0" w:color="auto" w:frame="1"/>
              </w:rPr>
              <w:t xml:space="preserve">Suspension of the statute only to the extent necessary to allow for the curbside pickup of beer sales otherwise allowed under the statute.  </w:t>
            </w:r>
          </w:p>
        </w:tc>
        <w:tc>
          <w:tcPr>
            <w:tcW w:w="60" w:type="dxa"/>
            <w:vAlign w:val="center"/>
            <w:hideMark/>
          </w:tcPr>
          <w:p w14:paraId="4B430695" w14:textId="77777777" w:rsidR="00046FB8" w:rsidRPr="00691FEB" w:rsidRDefault="00046FB8" w:rsidP="005D46C6">
            <w:pPr>
              <w:rPr>
                <w:color w:val="201F1E"/>
                <w:szCs w:val="24"/>
              </w:rPr>
            </w:pPr>
            <w:r w:rsidRPr="00691FEB">
              <w:rPr>
                <w:color w:val="201F1E"/>
                <w:szCs w:val="24"/>
              </w:rPr>
              <w:t> </w:t>
            </w:r>
          </w:p>
        </w:tc>
      </w:tr>
      <w:tr w:rsidR="00046FB8" w:rsidRPr="00691FEB" w14:paraId="6C2B22D0" w14:textId="77777777" w:rsidTr="005D46C6">
        <w:tc>
          <w:tcPr>
            <w:tcW w:w="2698" w:type="dxa"/>
            <w:gridSpan w:val="2"/>
            <w:tcMar>
              <w:top w:w="0" w:type="dxa"/>
              <w:left w:w="108" w:type="dxa"/>
              <w:bottom w:w="0" w:type="dxa"/>
              <w:right w:w="108" w:type="dxa"/>
            </w:tcMar>
            <w:hideMark/>
          </w:tcPr>
          <w:p w14:paraId="3AA42290" w14:textId="77777777" w:rsidR="00046FB8" w:rsidRPr="005B4B2A" w:rsidRDefault="00046FB8" w:rsidP="005D46C6">
            <w:pPr>
              <w:rPr>
                <w:color w:val="201F1E"/>
                <w:szCs w:val="24"/>
              </w:rPr>
            </w:pPr>
            <w:r w:rsidRPr="005B4B2A">
              <w:rPr>
                <w:color w:val="201F1E"/>
                <w:szCs w:val="24"/>
              </w:rPr>
              <w:t>AS 04.11.135(a)(3)</w:t>
            </w:r>
          </w:p>
        </w:tc>
        <w:tc>
          <w:tcPr>
            <w:tcW w:w="2261" w:type="dxa"/>
            <w:tcMar>
              <w:top w:w="0" w:type="dxa"/>
              <w:left w:w="108" w:type="dxa"/>
              <w:bottom w:w="0" w:type="dxa"/>
              <w:right w:w="108" w:type="dxa"/>
            </w:tcMar>
            <w:hideMark/>
          </w:tcPr>
          <w:p w14:paraId="45CEBEB6" w14:textId="77777777" w:rsidR="00046FB8" w:rsidRPr="00691FEB" w:rsidRDefault="00046FB8" w:rsidP="005D46C6">
            <w:pPr>
              <w:rPr>
                <w:color w:val="201F1E"/>
                <w:szCs w:val="24"/>
              </w:rPr>
            </w:pPr>
            <w:r w:rsidRPr="00691FEB">
              <w:rPr>
                <w:color w:val="201F1E"/>
                <w:szCs w:val="24"/>
              </w:rPr>
              <w:t>AMCO</w:t>
            </w:r>
          </w:p>
        </w:tc>
        <w:tc>
          <w:tcPr>
            <w:tcW w:w="4341" w:type="dxa"/>
            <w:tcMar>
              <w:top w:w="0" w:type="dxa"/>
              <w:left w:w="108" w:type="dxa"/>
              <w:bottom w:w="0" w:type="dxa"/>
              <w:right w:w="108" w:type="dxa"/>
            </w:tcMar>
            <w:hideMark/>
          </w:tcPr>
          <w:p w14:paraId="27772223" w14:textId="77777777" w:rsidR="00046FB8" w:rsidRPr="005B4B2A" w:rsidRDefault="00046FB8" w:rsidP="005D46C6">
            <w:pPr>
              <w:rPr>
                <w:color w:val="201F1E"/>
                <w:szCs w:val="24"/>
              </w:rPr>
            </w:pPr>
            <w:r w:rsidRPr="00691FEB">
              <w:rPr>
                <w:color w:val="000000"/>
                <w:szCs w:val="24"/>
                <w:bdr w:val="none" w:sz="0" w:space="0" w:color="auto" w:frame="1"/>
              </w:rPr>
              <w:t xml:space="preserve">Suspension of the statute only to the extent necessary to allow for the curbside </w:t>
            </w:r>
            <w:r w:rsidRPr="00691FEB">
              <w:rPr>
                <w:color w:val="000000"/>
                <w:szCs w:val="24"/>
                <w:bdr w:val="none" w:sz="0" w:space="0" w:color="auto" w:frame="1"/>
              </w:rPr>
              <w:lastRenderedPageBreak/>
              <w:t xml:space="preserve">pickup of beer sales otherwise allowed under the statute.  </w:t>
            </w:r>
          </w:p>
        </w:tc>
        <w:tc>
          <w:tcPr>
            <w:tcW w:w="60" w:type="dxa"/>
            <w:vAlign w:val="center"/>
            <w:hideMark/>
          </w:tcPr>
          <w:p w14:paraId="20656046" w14:textId="77777777" w:rsidR="00046FB8" w:rsidRPr="00691FEB" w:rsidRDefault="00046FB8" w:rsidP="005D46C6">
            <w:pPr>
              <w:rPr>
                <w:color w:val="201F1E"/>
                <w:szCs w:val="24"/>
              </w:rPr>
            </w:pPr>
            <w:r w:rsidRPr="00691FEB">
              <w:rPr>
                <w:color w:val="201F1E"/>
                <w:szCs w:val="24"/>
              </w:rPr>
              <w:lastRenderedPageBreak/>
              <w:t> </w:t>
            </w:r>
          </w:p>
        </w:tc>
      </w:tr>
      <w:tr w:rsidR="00046FB8" w:rsidRPr="00691FEB" w14:paraId="2219C2B4" w14:textId="77777777" w:rsidTr="005D46C6">
        <w:tc>
          <w:tcPr>
            <w:tcW w:w="2698" w:type="dxa"/>
            <w:gridSpan w:val="2"/>
            <w:shd w:val="clear" w:color="auto" w:fill="F2F2F2"/>
            <w:tcMar>
              <w:top w:w="0" w:type="dxa"/>
              <w:left w:w="108" w:type="dxa"/>
              <w:bottom w:w="0" w:type="dxa"/>
              <w:right w:w="108" w:type="dxa"/>
            </w:tcMar>
            <w:hideMark/>
          </w:tcPr>
          <w:p w14:paraId="4DE3670B" w14:textId="77777777" w:rsidR="00046FB8" w:rsidRPr="005B4B2A" w:rsidRDefault="00046FB8" w:rsidP="005D46C6">
            <w:pPr>
              <w:rPr>
                <w:color w:val="201F1E"/>
                <w:szCs w:val="24"/>
              </w:rPr>
            </w:pPr>
            <w:r w:rsidRPr="00691FEB">
              <w:rPr>
                <w:color w:val="000000"/>
                <w:szCs w:val="24"/>
                <w:bdr w:val="none" w:sz="0" w:space="0" w:color="auto" w:frame="1"/>
              </w:rPr>
              <w:t>AS 04.11.135(d)(3)(C)&amp;(e)</w:t>
            </w:r>
          </w:p>
        </w:tc>
        <w:tc>
          <w:tcPr>
            <w:tcW w:w="2261" w:type="dxa"/>
            <w:shd w:val="clear" w:color="auto" w:fill="F2F2F2"/>
            <w:tcMar>
              <w:top w:w="0" w:type="dxa"/>
              <w:left w:w="108" w:type="dxa"/>
              <w:bottom w:w="0" w:type="dxa"/>
              <w:right w:w="108" w:type="dxa"/>
            </w:tcMar>
            <w:hideMark/>
          </w:tcPr>
          <w:p w14:paraId="27F4F6FA" w14:textId="77777777" w:rsidR="00046FB8" w:rsidRPr="005B4B2A" w:rsidRDefault="00046FB8" w:rsidP="005D46C6">
            <w:pPr>
              <w:rPr>
                <w:color w:val="201F1E"/>
                <w:szCs w:val="24"/>
              </w:rPr>
            </w:pPr>
            <w:r w:rsidRPr="00691FEB">
              <w:rPr>
                <w:color w:val="000000"/>
                <w:szCs w:val="24"/>
                <w:bdr w:val="none" w:sz="0" w:space="0" w:color="auto" w:frame="1"/>
              </w:rPr>
              <w:t>AMCO</w:t>
            </w:r>
          </w:p>
        </w:tc>
        <w:tc>
          <w:tcPr>
            <w:tcW w:w="4341" w:type="dxa"/>
            <w:shd w:val="clear" w:color="auto" w:fill="F2F2F2"/>
            <w:tcMar>
              <w:top w:w="0" w:type="dxa"/>
              <w:left w:w="108" w:type="dxa"/>
              <w:bottom w:w="0" w:type="dxa"/>
              <w:right w:w="108" w:type="dxa"/>
            </w:tcMar>
            <w:hideMark/>
          </w:tcPr>
          <w:p w14:paraId="7BB39076" w14:textId="77777777" w:rsidR="00046FB8" w:rsidRPr="005B4B2A" w:rsidRDefault="00046FB8" w:rsidP="005D46C6">
            <w:pPr>
              <w:rPr>
                <w:color w:val="201F1E"/>
                <w:szCs w:val="24"/>
              </w:rPr>
            </w:pPr>
            <w:r w:rsidRPr="00691FEB">
              <w:rPr>
                <w:color w:val="000000"/>
                <w:szCs w:val="24"/>
                <w:bdr w:val="none" w:sz="0" w:space="0" w:color="auto" w:frame="1"/>
              </w:rPr>
              <w:t xml:space="preserve">Suspension of the statute only to the extent necessary to allow for: (1) curbside pickup of alcohol; and (2) delivery of beer and wine when included with an order of food being delivered by a licensed restaurant or eating place establishment.  </w:t>
            </w:r>
          </w:p>
        </w:tc>
        <w:tc>
          <w:tcPr>
            <w:tcW w:w="60" w:type="dxa"/>
            <w:vAlign w:val="center"/>
            <w:hideMark/>
          </w:tcPr>
          <w:p w14:paraId="32B9EF30" w14:textId="77777777" w:rsidR="00046FB8" w:rsidRPr="00691FEB" w:rsidRDefault="00046FB8" w:rsidP="005D46C6">
            <w:pPr>
              <w:rPr>
                <w:color w:val="201F1E"/>
                <w:szCs w:val="24"/>
              </w:rPr>
            </w:pPr>
            <w:r w:rsidRPr="00691FEB">
              <w:rPr>
                <w:color w:val="201F1E"/>
                <w:szCs w:val="24"/>
              </w:rPr>
              <w:t> </w:t>
            </w:r>
          </w:p>
        </w:tc>
      </w:tr>
      <w:tr w:rsidR="00046FB8" w:rsidRPr="00691FEB" w14:paraId="76CCB32A" w14:textId="77777777" w:rsidTr="005D46C6">
        <w:tc>
          <w:tcPr>
            <w:tcW w:w="2698" w:type="dxa"/>
            <w:gridSpan w:val="2"/>
            <w:tcMar>
              <w:top w:w="0" w:type="dxa"/>
              <w:left w:w="108" w:type="dxa"/>
              <w:bottom w:w="0" w:type="dxa"/>
              <w:right w:w="108" w:type="dxa"/>
            </w:tcMar>
            <w:hideMark/>
          </w:tcPr>
          <w:p w14:paraId="514F4B0E" w14:textId="77777777" w:rsidR="00046FB8" w:rsidRPr="005B4B2A" w:rsidRDefault="00046FB8" w:rsidP="005D46C6">
            <w:pPr>
              <w:rPr>
                <w:color w:val="201F1E"/>
                <w:szCs w:val="24"/>
              </w:rPr>
            </w:pPr>
            <w:r w:rsidRPr="005B4B2A">
              <w:rPr>
                <w:color w:val="201F1E"/>
                <w:szCs w:val="24"/>
              </w:rPr>
              <w:t>AS 04.11.140(b)(1)(A)</w:t>
            </w:r>
          </w:p>
        </w:tc>
        <w:tc>
          <w:tcPr>
            <w:tcW w:w="2261" w:type="dxa"/>
            <w:tcMar>
              <w:top w:w="0" w:type="dxa"/>
              <w:left w:w="108" w:type="dxa"/>
              <w:bottom w:w="0" w:type="dxa"/>
              <w:right w:w="108" w:type="dxa"/>
            </w:tcMar>
            <w:hideMark/>
          </w:tcPr>
          <w:p w14:paraId="69FF45DB" w14:textId="77777777" w:rsidR="00046FB8" w:rsidRPr="00691FEB" w:rsidRDefault="00046FB8" w:rsidP="005D46C6">
            <w:pPr>
              <w:rPr>
                <w:color w:val="201F1E"/>
                <w:szCs w:val="24"/>
              </w:rPr>
            </w:pPr>
            <w:r w:rsidRPr="00691FEB">
              <w:rPr>
                <w:color w:val="201F1E"/>
                <w:szCs w:val="24"/>
              </w:rPr>
              <w:t>AMCO</w:t>
            </w:r>
          </w:p>
        </w:tc>
        <w:tc>
          <w:tcPr>
            <w:tcW w:w="4341" w:type="dxa"/>
            <w:tcMar>
              <w:top w:w="0" w:type="dxa"/>
              <w:left w:w="108" w:type="dxa"/>
              <w:bottom w:w="0" w:type="dxa"/>
              <w:right w:w="108" w:type="dxa"/>
            </w:tcMar>
            <w:hideMark/>
          </w:tcPr>
          <w:p w14:paraId="0127C05F" w14:textId="77777777" w:rsidR="00046FB8" w:rsidRPr="005B4B2A" w:rsidRDefault="00046FB8" w:rsidP="005D46C6">
            <w:pPr>
              <w:rPr>
                <w:color w:val="201F1E"/>
                <w:szCs w:val="24"/>
              </w:rPr>
            </w:pPr>
            <w:r w:rsidRPr="00691FEB">
              <w:rPr>
                <w:color w:val="000000"/>
                <w:szCs w:val="24"/>
                <w:bdr w:val="none" w:sz="0" w:space="0" w:color="auto" w:frame="1"/>
              </w:rPr>
              <w:t xml:space="preserve">Suspension of the statute only to the extent necessary to allow for the curbside pickup of wine sales otherwise allowed under the statute.  </w:t>
            </w:r>
          </w:p>
        </w:tc>
        <w:tc>
          <w:tcPr>
            <w:tcW w:w="60" w:type="dxa"/>
            <w:vAlign w:val="center"/>
            <w:hideMark/>
          </w:tcPr>
          <w:p w14:paraId="6D0BBFDF" w14:textId="77777777" w:rsidR="00046FB8" w:rsidRPr="00691FEB" w:rsidRDefault="00046FB8" w:rsidP="005D46C6">
            <w:pPr>
              <w:rPr>
                <w:color w:val="201F1E"/>
                <w:szCs w:val="24"/>
              </w:rPr>
            </w:pPr>
            <w:r w:rsidRPr="00691FEB">
              <w:rPr>
                <w:color w:val="201F1E"/>
                <w:szCs w:val="24"/>
              </w:rPr>
              <w:t> </w:t>
            </w:r>
          </w:p>
        </w:tc>
      </w:tr>
      <w:tr w:rsidR="00046FB8" w:rsidRPr="00691FEB" w14:paraId="48A2C7BA" w14:textId="77777777" w:rsidTr="005D46C6">
        <w:tc>
          <w:tcPr>
            <w:tcW w:w="2698" w:type="dxa"/>
            <w:gridSpan w:val="2"/>
            <w:shd w:val="clear" w:color="auto" w:fill="F2F2F2"/>
            <w:tcMar>
              <w:top w:w="0" w:type="dxa"/>
              <w:left w:w="108" w:type="dxa"/>
              <w:bottom w:w="0" w:type="dxa"/>
              <w:right w:w="108" w:type="dxa"/>
            </w:tcMar>
            <w:hideMark/>
          </w:tcPr>
          <w:p w14:paraId="26023FE1" w14:textId="77777777" w:rsidR="00046FB8" w:rsidRPr="005B4B2A" w:rsidRDefault="00046FB8" w:rsidP="005D46C6">
            <w:pPr>
              <w:rPr>
                <w:color w:val="201F1E"/>
                <w:szCs w:val="24"/>
              </w:rPr>
            </w:pPr>
            <w:r w:rsidRPr="00691FEB">
              <w:rPr>
                <w:color w:val="000000"/>
                <w:szCs w:val="24"/>
                <w:bdr w:val="none" w:sz="0" w:space="0" w:color="auto" w:frame="1"/>
              </w:rPr>
              <w:t>AS 04.11.150</w:t>
            </w:r>
          </w:p>
        </w:tc>
        <w:tc>
          <w:tcPr>
            <w:tcW w:w="2261" w:type="dxa"/>
            <w:shd w:val="clear" w:color="auto" w:fill="F2F2F2"/>
            <w:tcMar>
              <w:top w:w="0" w:type="dxa"/>
              <w:left w:w="108" w:type="dxa"/>
              <w:bottom w:w="0" w:type="dxa"/>
              <w:right w:w="108" w:type="dxa"/>
            </w:tcMar>
            <w:hideMark/>
          </w:tcPr>
          <w:p w14:paraId="3F596AB0" w14:textId="77777777" w:rsidR="00046FB8" w:rsidRPr="005B4B2A" w:rsidRDefault="00046FB8" w:rsidP="005D46C6">
            <w:pPr>
              <w:rPr>
                <w:color w:val="201F1E"/>
                <w:szCs w:val="24"/>
              </w:rPr>
            </w:pPr>
            <w:r w:rsidRPr="00691FEB">
              <w:rPr>
                <w:color w:val="000000"/>
                <w:szCs w:val="24"/>
                <w:bdr w:val="none" w:sz="0" w:space="0" w:color="auto" w:frame="1"/>
              </w:rPr>
              <w:t>AMCO</w:t>
            </w:r>
          </w:p>
        </w:tc>
        <w:tc>
          <w:tcPr>
            <w:tcW w:w="4341" w:type="dxa"/>
            <w:shd w:val="clear" w:color="auto" w:fill="F2F2F2"/>
            <w:tcMar>
              <w:top w:w="0" w:type="dxa"/>
              <w:left w:w="108" w:type="dxa"/>
              <w:bottom w:w="0" w:type="dxa"/>
              <w:right w:w="108" w:type="dxa"/>
            </w:tcMar>
            <w:hideMark/>
          </w:tcPr>
          <w:p w14:paraId="645EB482" w14:textId="77777777" w:rsidR="00046FB8" w:rsidRPr="005B4B2A" w:rsidRDefault="00046FB8" w:rsidP="005D46C6">
            <w:pPr>
              <w:rPr>
                <w:color w:val="201F1E"/>
                <w:szCs w:val="24"/>
              </w:rPr>
            </w:pPr>
            <w:r w:rsidRPr="00691FEB">
              <w:rPr>
                <w:color w:val="000000"/>
                <w:szCs w:val="24"/>
                <w:bdr w:val="none" w:sz="0" w:space="0" w:color="auto" w:frame="1"/>
              </w:rPr>
              <w:t xml:space="preserve">Suspension of the statute only to the extent necessary to allow for the curbside pickup of alcohol sales otherwise allowed under the statute.  </w:t>
            </w:r>
          </w:p>
        </w:tc>
        <w:tc>
          <w:tcPr>
            <w:tcW w:w="60" w:type="dxa"/>
            <w:vAlign w:val="center"/>
            <w:hideMark/>
          </w:tcPr>
          <w:p w14:paraId="203FBF83" w14:textId="77777777" w:rsidR="00046FB8" w:rsidRPr="00691FEB" w:rsidRDefault="00046FB8" w:rsidP="005D46C6">
            <w:pPr>
              <w:rPr>
                <w:color w:val="201F1E"/>
                <w:szCs w:val="24"/>
              </w:rPr>
            </w:pPr>
            <w:r w:rsidRPr="00691FEB">
              <w:rPr>
                <w:color w:val="201F1E"/>
                <w:szCs w:val="24"/>
              </w:rPr>
              <w:t> </w:t>
            </w:r>
          </w:p>
        </w:tc>
      </w:tr>
      <w:tr w:rsidR="00046FB8" w:rsidRPr="00691FEB" w14:paraId="5FCBF877" w14:textId="77777777" w:rsidTr="005D46C6">
        <w:tc>
          <w:tcPr>
            <w:tcW w:w="2698" w:type="dxa"/>
            <w:gridSpan w:val="2"/>
            <w:shd w:val="clear" w:color="auto" w:fill="F2F2F2"/>
            <w:tcMar>
              <w:top w:w="0" w:type="dxa"/>
              <w:left w:w="108" w:type="dxa"/>
              <w:bottom w:w="0" w:type="dxa"/>
              <w:right w:w="108" w:type="dxa"/>
            </w:tcMar>
          </w:tcPr>
          <w:p w14:paraId="4163ECF4" w14:textId="77777777" w:rsidR="00046FB8" w:rsidRPr="00691FEB" w:rsidRDefault="00046FB8" w:rsidP="005D46C6">
            <w:pPr>
              <w:rPr>
                <w:color w:val="000000"/>
                <w:szCs w:val="24"/>
                <w:bdr w:val="none" w:sz="0" w:space="0" w:color="auto" w:frame="1"/>
              </w:rPr>
            </w:pPr>
          </w:p>
        </w:tc>
        <w:tc>
          <w:tcPr>
            <w:tcW w:w="2261" w:type="dxa"/>
            <w:shd w:val="clear" w:color="auto" w:fill="F2F2F2"/>
            <w:tcMar>
              <w:top w:w="0" w:type="dxa"/>
              <w:left w:w="108" w:type="dxa"/>
              <w:bottom w:w="0" w:type="dxa"/>
              <w:right w:w="108" w:type="dxa"/>
            </w:tcMar>
          </w:tcPr>
          <w:p w14:paraId="31862821" w14:textId="77777777" w:rsidR="00046FB8" w:rsidRPr="00691FEB" w:rsidRDefault="00046FB8" w:rsidP="005D46C6">
            <w:pPr>
              <w:rPr>
                <w:color w:val="000000"/>
                <w:szCs w:val="24"/>
                <w:bdr w:val="none" w:sz="0" w:space="0" w:color="auto" w:frame="1"/>
              </w:rPr>
            </w:pPr>
          </w:p>
        </w:tc>
        <w:tc>
          <w:tcPr>
            <w:tcW w:w="4341" w:type="dxa"/>
            <w:shd w:val="clear" w:color="auto" w:fill="F2F2F2"/>
            <w:tcMar>
              <w:top w:w="0" w:type="dxa"/>
              <w:left w:w="108" w:type="dxa"/>
              <w:bottom w:w="0" w:type="dxa"/>
              <w:right w:w="108" w:type="dxa"/>
            </w:tcMar>
          </w:tcPr>
          <w:p w14:paraId="02BE4B84" w14:textId="77777777" w:rsidR="00046FB8" w:rsidRPr="00691FEB" w:rsidRDefault="00046FB8" w:rsidP="005D46C6">
            <w:pPr>
              <w:rPr>
                <w:color w:val="000000"/>
                <w:szCs w:val="24"/>
                <w:bdr w:val="none" w:sz="0" w:space="0" w:color="auto" w:frame="1"/>
              </w:rPr>
            </w:pPr>
          </w:p>
        </w:tc>
        <w:tc>
          <w:tcPr>
            <w:tcW w:w="60" w:type="dxa"/>
            <w:vAlign w:val="center"/>
          </w:tcPr>
          <w:p w14:paraId="5963AC0B" w14:textId="77777777" w:rsidR="00046FB8" w:rsidRPr="00691FEB" w:rsidRDefault="00046FB8" w:rsidP="005D46C6">
            <w:pPr>
              <w:rPr>
                <w:color w:val="201F1E"/>
                <w:szCs w:val="24"/>
              </w:rPr>
            </w:pPr>
          </w:p>
        </w:tc>
      </w:tr>
    </w:tbl>
    <w:p w14:paraId="5441C702" w14:textId="383B3027" w:rsidR="00046FB8" w:rsidRDefault="00046FB8" w:rsidP="00F93C35">
      <w:pPr>
        <w:rPr>
          <w:szCs w:val="24"/>
        </w:rPr>
      </w:pPr>
      <w:r>
        <w:rPr>
          <w:szCs w:val="24"/>
        </w:rPr>
        <w:t>AS 04.11.170</w:t>
      </w:r>
      <w:r>
        <w:rPr>
          <w:szCs w:val="24"/>
        </w:rPr>
        <w:tab/>
      </w:r>
      <w:r>
        <w:rPr>
          <w:szCs w:val="24"/>
        </w:rPr>
        <w:tab/>
        <w:t xml:space="preserve">         AMCO</w:t>
      </w:r>
      <w:r>
        <w:rPr>
          <w:szCs w:val="24"/>
        </w:rPr>
        <w:tab/>
      </w:r>
      <w:r>
        <w:rPr>
          <w:szCs w:val="24"/>
        </w:rPr>
        <w:tab/>
      </w:r>
      <w:r>
        <w:rPr>
          <w:szCs w:val="24"/>
        </w:rPr>
        <w:tab/>
        <w:t xml:space="preserve">Suspension of the statute only to the extent </w:t>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necessary </w:t>
      </w:r>
      <w:r w:rsidR="00224382">
        <w:rPr>
          <w:szCs w:val="24"/>
        </w:rPr>
        <w:t xml:space="preserve">to allow for curbside pickup of </w:t>
      </w:r>
    </w:p>
    <w:p w14:paraId="51B32095" w14:textId="38FE165B" w:rsidR="00224382" w:rsidRDefault="00224382" w:rsidP="00F93C35">
      <w:pPr>
        <w:rPr>
          <w:szCs w:val="24"/>
        </w:rPr>
      </w:pPr>
      <w:r>
        <w:rPr>
          <w:szCs w:val="24"/>
        </w:rPr>
        <w:tab/>
      </w:r>
      <w:r>
        <w:rPr>
          <w:szCs w:val="24"/>
        </w:rPr>
        <w:tab/>
      </w:r>
      <w:r>
        <w:rPr>
          <w:szCs w:val="24"/>
        </w:rPr>
        <w:tab/>
      </w:r>
      <w:r>
        <w:rPr>
          <w:szCs w:val="24"/>
        </w:rPr>
        <w:tab/>
      </w:r>
      <w:r>
        <w:rPr>
          <w:szCs w:val="24"/>
        </w:rPr>
        <w:tab/>
      </w:r>
      <w:r>
        <w:rPr>
          <w:szCs w:val="24"/>
        </w:rPr>
        <w:tab/>
      </w:r>
      <w:r>
        <w:rPr>
          <w:szCs w:val="24"/>
        </w:rPr>
        <w:tab/>
        <w:t>alcohol.</w:t>
      </w:r>
    </w:p>
    <w:p w14:paraId="166213B7" w14:textId="77777777" w:rsidR="00046FB8" w:rsidRDefault="00046FB8" w:rsidP="00F93C35">
      <w:pPr>
        <w:rPr>
          <w:szCs w:val="24"/>
        </w:rPr>
      </w:pPr>
    </w:p>
    <w:p w14:paraId="7250D720" w14:textId="12CDC4C4" w:rsidR="00F93C35" w:rsidRDefault="00F93C35" w:rsidP="00E64C84">
      <w:pPr>
        <w:rPr>
          <w:szCs w:val="24"/>
        </w:rPr>
      </w:pPr>
      <w:r>
        <w:t>The practical effect of these suspensions is that licensees are able to sell alcoholic beverages off of the licensed premises. To provide constraints and avoid confusion, the board must pass emergency regulations so that physical distancing can be balanced with existing public peace, health, and safety protections, including verification that the purchasers are of legal drinking age and are not intoxicated at the time of purchas</w:t>
      </w:r>
      <w:r w:rsidR="00224382">
        <w:t>e and protections against alcohol being left unattended</w:t>
      </w:r>
      <w:r>
        <w:t>.</w:t>
      </w:r>
    </w:p>
    <w:p w14:paraId="054C17DD" w14:textId="77777777" w:rsidR="00E64C84" w:rsidRDefault="00E64C84" w:rsidP="00E64C84">
      <w:pPr>
        <w:rPr>
          <w:szCs w:val="24"/>
        </w:rPr>
      </w:pPr>
    </w:p>
    <w:p w14:paraId="1811AD69" w14:textId="77777777" w:rsidR="00104AE4" w:rsidRDefault="00104AE4" w:rsidP="00104AE4"/>
    <w:p w14:paraId="41A44B19" w14:textId="506ED849" w:rsidR="007C199E" w:rsidRPr="003A7E61" w:rsidRDefault="007C199E" w:rsidP="003A7E61">
      <w:pPr>
        <w:rPr>
          <w:rFonts w:ascii="TimesNewRoman" w:hAnsi="TimesNewRoman"/>
        </w:rPr>
      </w:pPr>
      <w:r w:rsidRPr="00E64C84">
        <w:t xml:space="preserve">THEREFORE:  The </w:t>
      </w:r>
      <w:r w:rsidR="00D12AAF" w:rsidRPr="00E64C84">
        <w:t xml:space="preserve">Alcoholic Beverage Control </w:t>
      </w:r>
      <w:r w:rsidRPr="00E64C84">
        <w:t>Board</w:t>
      </w:r>
      <w:r w:rsidRPr="003A7E61">
        <w:rPr>
          <w:rFonts w:ascii="TimesNewRoman" w:hAnsi="TimesNewRoman"/>
        </w:rPr>
        <w:t xml:space="preserve"> finds that upon suspension </w:t>
      </w:r>
      <w:r w:rsidR="000C0B4A" w:rsidRPr="003A7E61">
        <w:rPr>
          <w:rFonts w:ascii="TimesNewRoman" w:hAnsi="TimesNewRoman"/>
        </w:rPr>
        <w:t xml:space="preserve">of </w:t>
      </w:r>
      <w:r w:rsidR="00F93C35">
        <w:rPr>
          <w:rFonts w:ascii="TimesNewRoman" w:hAnsi="TimesNewRoman"/>
        </w:rPr>
        <w:t xml:space="preserve">the listed </w:t>
      </w:r>
      <w:r w:rsidR="000C0B4A" w:rsidRPr="003A7E61">
        <w:rPr>
          <w:rFonts w:ascii="TimesNewRoman" w:hAnsi="TimesNewRoman"/>
        </w:rPr>
        <w:t xml:space="preserve">Title 4 statutory provisions </w:t>
      </w:r>
      <w:r w:rsidR="003A7E61">
        <w:rPr>
          <w:rFonts w:ascii="TimesNewRoman" w:hAnsi="TimesNewRoman"/>
        </w:rPr>
        <w:t>as stated in the Governor’s Suspension Order, effective April 14, 2020</w:t>
      </w:r>
      <w:r w:rsidR="000C0B4A" w:rsidRPr="003A7E61">
        <w:rPr>
          <w:rFonts w:ascii="TimesNewRoman" w:hAnsi="TimesNewRoman"/>
        </w:rPr>
        <w:t xml:space="preserve">, it is in the </w:t>
      </w:r>
      <w:r w:rsidRPr="003A7E61">
        <w:rPr>
          <w:rFonts w:ascii="TimesNewRoman" w:hAnsi="TimesNewRoman"/>
        </w:rPr>
        <w:t>best interest of the state to enact emergency regulation</w:t>
      </w:r>
      <w:r w:rsidR="00E64C84" w:rsidRPr="003A7E61">
        <w:rPr>
          <w:rFonts w:ascii="TimesNewRoman" w:hAnsi="TimesNewRoman"/>
        </w:rPr>
        <w:t>s</w:t>
      </w:r>
      <w:r w:rsidR="005D7BD4">
        <w:rPr>
          <w:rFonts w:ascii="TimesNewRoman" w:hAnsi="TimesNewRoman"/>
        </w:rPr>
        <w:t xml:space="preserve"> </w:t>
      </w:r>
      <w:r w:rsidR="005D7BD4">
        <w:t>3 AAC 304.185</w:t>
      </w:r>
      <w:r w:rsidR="005D7BD4">
        <w:t xml:space="preserve">(g), </w:t>
      </w:r>
      <w:r w:rsidR="00224382">
        <w:rPr>
          <w:rFonts w:ascii="TimesNewRoman" w:hAnsi="TimesNewRoman"/>
        </w:rPr>
        <w:t xml:space="preserve"> 3 AAC </w:t>
      </w:r>
      <w:r w:rsidR="00E64C84" w:rsidRPr="003A7E61">
        <w:rPr>
          <w:rFonts w:ascii="TimesNewRoman" w:hAnsi="TimesNewRoman"/>
        </w:rPr>
        <w:t xml:space="preserve"> </w:t>
      </w:r>
      <w:r w:rsidRPr="003A7E61">
        <w:rPr>
          <w:rFonts w:ascii="TimesNewRoman" w:hAnsi="TimesNewRoman"/>
        </w:rPr>
        <w:t>3 AAC 304.920</w:t>
      </w:r>
      <w:r w:rsidR="005D7BD4">
        <w:rPr>
          <w:rFonts w:ascii="TimesNewRoman" w:hAnsi="TimesNewRoman"/>
        </w:rPr>
        <w:t>,</w:t>
      </w:r>
      <w:r w:rsidR="00E64C84" w:rsidRPr="003A7E61">
        <w:rPr>
          <w:rFonts w:ascii="TimesNewRoman" w:hAnsi="TimesNewRoman"/>
        </w:rPr>
        <w:t xml:space="preserve"> and 3 AAC 304.925</w:t>
      </w:r>
      <w:r w:rsidR="005D7BD4">
        <w:rPr>
          <w:rFonts w:ascii="TimesNewRoman" w:hAnsi="TimesNewRoman"/>
        </w:rPr>
        <w:t>.</w:t>
      </w:r>
    </w:p>
    <w:p w14:paraId="56E1D7FF" w14:textId="77777777" w:rsidR="003C3E73" w:rsidRPr="00B0299F" w:rsidRDefault="003C3E73" w:rsidP="003C3E73">
      <w:pPr>
        <w:jc w:val="center"/>
        <w:rPr>
          <w:szCs w:val="24"/>
        </w:rPr>
      </w:pPr>
    </w:p>
    <w:p w14:paraId="31282A47" w14:textId="77777777" w:rsidR="003C3E73" w:rsidRPr="00B0299F" w:rsidRDefault="003C3E73" w:rsidP="003C3E73">
      <w:pPr>
        <w:jc w:val="center"/>
        <w:rPr>
          <w:szCs w:val="24"/>
        </w:rPr>
      </w:pPr>
      <w:r w:rsidRPr="00B0299F">
        <w:rPr>
          <w:szCs w:val="24"/>
          <w:u w:val="single"/>
        </w:rPr>
        <w:t>ORDER CERTIFYING ADOPTION</w:t>
      </w:r>
    </w:p>
    <w:p w14:paraId="6CEABB0F" w14:textId="77777777" w:rsidR="003C3E73" w:rsidRPr="00B0299F" w:rsidRDefault="003C3E73" w:rsidP="003C3E73">
      <w:pPr>
        <w:rPr>
          <w:szCs w:val="24"/>
        </w:rPr>
      </w:pPr>
    </w:p>
    <w:p w14:paraId="0417236B" w14:textId="7AD520B7" w:rsidR="003C3E73" w:rsidRPr="00B0299F" w:rsidRDefault="003C3E73" w:rsidP="003C3E73">
      <w:pPr>
        <w:rPr>
          <w:szCs w:val="24"/>
        </w:rPr>
      </w:pPr>
      <w:r w:rsidRPr="00B0299F">
        <w:rPr>
          <w:szCs w:val="24"/>
        </w:rPr>
        <w:t xml:space="preserve">I certify that the </w:t>
      </w:r>
      <w:r w:rsidR="00AA4D8D" w:rsidRPr="00A66CDD">
        <w:rPr>
          <w:szCs w:val="24"/>
        </w:rPr>
        <w:t>Alcoholic Beverage Control Board</w:t>
      </w:r>
      <w:r w:rsidRPr="00B0299F">
        <w:rPr>
          <w:szCs w:val="24"/>
        </w:rPr>
        <w:t xml:space="preserve"> under the authority of AS</w:t>
      </w:r>
      <w:r>
        <w:rPr>
          <w:szCs w:val="24"/>
        </w:rPr>
        <w:t> </w:t>
      </w:r>
      <w:r w:rsidR="00951CA7">
        <w:rPr>
          <w:szCs w:val="24"/>
        </w:rPr>
        <w:t>04.06.090</w:t>
      </w:r>
      <w:r w:rsidRPr="00B0299F">
        <w:rPr>
          <w:szCs w:val="24"/>
        </w:rPr>
        <w:t xml:space="preserve">, adopted at its </w:t>
      </w:r>
      <w:r w:rsidRPr="009A27DB">
        <w:rPr>
          <w:szCs w:val="24"/>
          <w:highlight w:val="yellow"/>
          <w:u w:val="single"/>
        </w:rPr>
        <w:t>[date]</w:t>
      </w:r>
      <w:r w:rsidRPr="00B0299F">
        <w:rPr>
          <w:szCs w:val="24"/>
        </w:rPr>
        <w:t xml:space="preserve"> meeting the attached </w:t>
      </w:r>
      <w:r w:rsidRPr="003D70D5">
        <w:rPr>
          <w:szCs w:val="24"/>
          <w:highlight w:val="yellow"/>
        </w:rPr>
        <w:t>_________</w:t>
      </w:r>
      <w:r w:rsidRPr="00B0299F">
        <w:rPr>
          <w:szCs w:val="24"/>
        </w:rPr>
        <w:t xml:space="preserve"> pages of regulation changes as </w:t>
      </w:r>
      <w:r>
        <w:rPr>
          <w:szCs w:val="24"/>
        </w:rPr>
        <w:t xml:space="preserve">an </w:t>
      </w:r>
      <w:r w:rsidRPr="00B0299F">
        <w:rPr>
          <w:szCs w:val="24"/>
        </w:rPr>
        <w:t>emerg</w:t>
      </w:r>
      <w:r w:rsidR="003D70D5">
        <w:rPr>
          <w:szCs w:val="24"/>
        </w:rPr>
        <w:t xml:space="preserve">ency regulation to take effect </w:t>
      </w:r>
      <w:r w:rsidRPr="00B0299F">
        <w:rPr>
          <w:szCs w:val="24"/>
        </w:rPr>
        <w:t>immediately upon fil</w:t>
      </w:r>
      <w:r w:rsidR="003D70D5">
        <w:rPr>
          <w:szCs w:val="24"/>
        </w:rPr>
        <w:t xml:space="preserve">ing by the lieutenant governor </w:t>
      </w:r>
      <w:r w:rsidRPr="00B0299F">
        <w:rPr>
          <w:szCs w:val="24"/>
        </w:rPr>
        <w:t>as provided in AS 44.62.180(3).</w:t>
      </w:r>
    </w:p>
    <w:p w14:paraId="06B661D1" w14:textId="77777777" w:rsidR="003C3E73" w:rsidRPr="00B0299F" w:rsidRDefault="003C3E73" w:rsidP="003C3E73">
      <w:pPr>
        <w:rPr>
          <w:szCs w:val="24"/>
        </w:rPr>
      </w:pPr>
    </w:p>
    <w:p w14:paraId="1DD34D45" w14:textId="142E6A01" w:rsidR="003C3E73" w:rsidRPr="00B0299F" w:rsidRDefault="003C3E73" w:rsidP="003C3E73">
      <w:pPr>
        <w:rPr>
          <w:szCs w:val="24"/>
        </w:rPr>
      </w:pPr>
      <w:r w:rsidRPr="00B0299F">
        <w:rPr>
          <w:szCs w:val="24"/>
        </w:rPr>
        <w:t>This action is not expected to requ</w:t>
      </w:r>
      <w:r w:rsidR="00AF082E">
        <w:rPr>
          <w:szCs w:val="24"/>
        </w:rPr>
        <w:t>ire an increased appropriation.</w:t>
      </w:r>
    </w:p>
    <w:p w14:paraId="4E480856" w14:textId="77777777" w:rsidR="003C3E73" w:rsidRPr="00B0299F" w:rsidRDefault="003C3E73" w:rsidP="003C3E73">
      <w:pPr>
        <w:rPr>
          <w:szCs w:val="24"/>
        </w:rPr>
      </w:pPr>
    </w:p>
    <w:p w14:paraId="3C74B4E4" w14:textId="77777777" w:rsidR="003C3E73" w:rsidRPr="00B0299F" w:rsidRDefault="003C3E73" w:rsidP="003C3E73">
      <w:pPr>
        <w:tabs>
          <w:tab w:val="left" w:pos="720"/>
          <w:tab w:val="left" w:pos="3618"/>
        </w:tabs>
        <w:rPr>
          <w:szCs w:val="24"/>
          <w:u w:val="single"/>
        </w:rPr>
      </w:pPr>
      <w:r>
        <w:rPr>
          <w:szCs w:val="24"/>
        </w:rPr>
        <w:t>Date</w:t>
      </w:r>
      <w:r w:rsidRPr="00B0299F">
        <w:rPr>
          <w:szCs w:val="24"/>
        </w:rPr>
        <w:t>:</w:t>
      </w:r>
      <w:r w:rsidRPr="00B0299F">
        <w:rPr>
          <w:szCs w:val="24"/>
        </w:rPr>
        <w:tab/>
      </w:r>
      <w:r w:rsidRPr="00B0299F">
        <w:rPr>
          <w:szCs w:val="24"/>
          <w:u w:val="single"/>
        </w:rPr>
        <w:tab/>
      </w:r>
    </w:p>
    <w:p w14:paraId="644C6D03" w14:textId="77777777" w:rsidR="003C3E73" w:rsidRPr="00B0299F" w:rsidRDefault="003C3E73" w:rsidP="003C3E73">
      <w:pPr>
        <w:rPr>
          <w:szCs w:val="24"/>
        </w:rPr>
      </w:pPr>
    </w:p>
    <w:p w14:paraId="62FEF24A" w14:textId="38467624" w:rsidR="003C3E73" w:rsidRPr="00B0299F" w:rsidRDefault="003C3E73" w:rsidP="003C3E73">
      <w:pPr>
        <w:tabs>
          <w:tab w:val="left" w:pos="5760"/>
          <w:tab w:val="left" w:pos="9180"/>
        </w:tabs>
        <w:ind w:left="4320"/>
        <w:rPr>
          <w:szCs w:val="24"/>
        </w:rPr>
      </w:pPr>
      <w:r w:rsidRPr="00B0299F">
        <w:rPr>
          <w:szCs w:val="24"/>
          <w:u w:val="single"/>
        </w:rPr>
        <w:tab/>
      </w:r>
      <w:r w:rsidRPr="00B0299F">
        <w:rPr>
          <w:szCs w:val="24"/>
          <w:u w:val="single"/>
        </w:rPr>
        <w:tab/>
      </w:r>
    </w:p>
    <w:p w14:paraId="69A1F7CB" w14:textId="627A517A" w:rsidR="003C3E73" w:rsidRPr="00B0299F" w:rsidRDefault="003C3E73" w:rsidP="003C3E73">
      <w:pPr>
        <w:tabs>
          <w:tab w:val="left" w:pos="4320"/>
        </w:tabs>
        <w:rPr>
          <w:szCs w:val="24"/>
        </w:rPr>
      </w:pPr>
      <w:r w:rsidRPr="00B0299F">
        <w:rPr>
          <w:szCs w:val="24"/>
        </w:rPr>
        <w:lastRenderedPageBreak/>
        <w:tab/>
      </w:r>
      <w:r w:rsidR="001D3349">
        <w:rPr>
          <w:szCs w:val="24"/>
        </w:rPr>
        <w:t xml:space="preserve">Glen </w:t>
      </w:r>
      <w:proofErr w:type="spellStart"/>
      <w:r w:rsidR="001D3349">
        <w:rPr>
          <w:szCs w:val="24"/>
        </w:rPr>
        <w:t>Klinkhart</w:t>
      </w:r>
      <w:proofErr w:type="spellEnd"/>
      <w:r w:rsidR="001D3349">
        <w:rPr>
          <w:szCs w:val="24"/>
        </w:rPr>
        <w:t xml:space="preserve">, Interim Director </w:t>
      </w:r>
    </w:p>
    <w:p w14:paraId="05AC0AB4" w14:textId="77777777" w:rsidR="003C3E73" w:rsidRPr="00B0299F" w:rsidRDefault="003C3E73" w:rsidP="003C3E73">
      <w:pPr>
        <w:rPr>
          <w:szCs w:val="24"/>
        </w:rPr>
      </w:pPr>
    </w:p>
    <w:p w14:paraId="34235AB5" w14:textId="77777777" w:rsidR="003C3E73" w:rsidRPr="00B0299F" w:rsidRDefault="003C3E73" w:rsidP="003C3E73">
      <w:pPr>
        <w:tabs>
          <w:tab w:val="left" w:pos="9180"/>
        </w:tabs>
        <w:rPr>
          <w:szCs w:val="24"/>
        </w:rPr>
      </w:pPr>
    </w:p>
    <w:p w14:paraId="4B5B97E3" w14:textId="77777777" w:rsidR="003C3E73" w:rsidRPr="00B0299F" w:rsidRDefault="003C3E73" w:rsidP="003C3E73">
      <w:pPr>
        <w:jc w:val="center"/>
        <w:rPr>
          <w:szCs w:val="24"/>
        </w:rPr>
      </w:pPr>
      <w:r w:rsidRPr="00B0299F">
        <w:rPr>
          <w:szCs w:val="24"/>
        </w:rPr>
        <w:t>FILING CERTIFICATION</w:t>
      </w:r>
    </w:p>
    <w:p w14:paraId="13DEB9E8" w14:textId="77777777" w:rsidR="003C3E73" w:rsidRPr="00B0299F" w:rsidRDefault="003C3E73" w:rsidP="003C3E73">
      <w:pPr>
        <w:rPr>
          <w:szCs w:val="24"/>
        </w:rPr>
      </w:pPr>
    </w:p>
    <w:p w14:paraId="628EB5F9" w14:textId="778590CC" w:rsidR="003C3E73" w:rsidRPr="00B0299F" w:rsidRDefault="003C3E73" w:rsidP="003C3E73">
      <w:pPr>
        <w:spacing w:line="360" w:lineRule="auto"/>
        <w:rPr>
          <w:szCs w:val="24"/>
        </w:rPr>
      </w:pPr>
      <w:r w:rsidRPr="00B0299F">
        <w:rPr>
          <w:szCs w:val="24"/>
        </w:rPr>
        <w:t xml:space="preserve">I, </w:t>
      </w:r>
      <w:r w:rsidR="00CF4C8B" w:rsidRPr="00CF4C8B">
        <w:rPr>
          <w:szCs w:val="24"/>
        </w:rPr>
        <w:t xml:space="preserve">Kevin Meyer, </w:t>
      </w:r>
      <w:r w:rsidRPr="00CF4C8B">
        <w:rPr>
          <w:szCs w:val="24"/>
        </w:rPr>
        <w:t>Lieutenant</w:t>
      </w:r>
      <w:r w:rsidRPr="00B0299F">
        <w:rPr>
          <w:szCs w:val="24"/>
        </w:rPr>
        <w:t xml:space="preserve"> Governor for the State of Alaska, certify that on ________________, 20____, at _________.m., I filed the attached </w:t>
      </w:r>
      <w:r>
        <w:rPr>
          <w:szCs w:val="24"/>
        </w:rPr>
        <w:t>regulation</w:t>
      </w:r>
      <w:r w:rsidRPr="00B0299F">
        <w:rPr>
          <w:szCs w:val="24"/>
        </w:rPr>
        <w:t xml:space="preserve"> according to the provisions of AS 44.62.</w:t>
      </w:r>
    </w:p>
    <w:p w14:paraId="17E7F03E" w14:textId="77777777" w:rsidR="003C3E73" w:rsidRPr="00B0299F" w:rsidRDefault="003C3E73" w:rsidP="003C3E73">
      <w:pPr>
        <w:rPr>
          <w:szCs w:val="24"/>
        </w:rPr>
      </w:pPr>
    </w:p>
    <w:p w14:paraId="37F84BBF" w14:textId="6A3E8536" w:rsidR="003C3E73" w:rsidRPr="00B0299F" w:rsidRDefault="003C3E73" w:rsidP="003C3E73">
      <w:pPr>
        <w:tabs>
          <w:tab w:val="left" w:pos="6480"/>
          <w:tab w:val="left" w:pos="9180"/>
        </w:tabs>
        <w:ind w:left="4320"/>
        <w:rPr>
          <w:szCs w:val="24"/>
        </w:rPr>
      </w:pPr>
      <w:r w:rsidRPr="00B0299F">
        <w:rPr>
          <w:szCs w:val="24"/>
          <w:u w:val="single"/>
        </w:rPr>
        <w:tab/>
      </w:r>
      <w:r w:rsidRPr="00B0299F">
        <w:rPr>
          <w:szCs w:val="24"/>
          <w:u w:val="single"/>
        </w:rPr>
        <w:tab/>
      </w:r>
    </w:p>
    <w:p w14:paraId="4B7EB454" w14:textId="77777777" w:rsidR="003C3E73" w:rsidRPr="00B0299F" w:rsidRDefault="003C3E73" w:rsidP="003C3E73">
      <w:pPr>
        <w:tabs>
          <w:tab w:val="left" w:pos="4320"/>
        </w:tabs>
        <w:rPr>
          <w:szCs w:val="24"/>
        </w:rPr>
      </w:pPr>
      <w:r w:rsidRPr="00B0299F">
        <w:rPr>
          <w:szCs w:val="24"/>
        </w:rPr>
        <w:tab/>
        <w:t>Lieutenant Governor</w:t>
      </w:r>
    </w:p>
    <w:p w14:paraId="56D8E177" w14:textId="77777777" w:rsidR="003C3E73" w:rsidRPr="00B0299F" w:rsidRDefault="003C3E73" w:rsidP="003C3E73">
      <w:pPr>
        <w:rPr>
          <w:szCs w:val="24"/>
        </w:rPr>
      </w:pPr>
    </w:p>
    <w:p w14:paraId="594E8219" w14:textId="77777777" w:rsidR="003C3E73" w:rsidRPr="00B0299F" w:rsidRDefault="003C3E73" w:rsidP="003C3E73">
      <w:pPr>
        <w:rPr>
          <w:szCs w:val="24"/>
        </w:rPr>
      </w:pPr>
      <w:r w:rsidRPr="00B0299F">
        <w:rPr>
          <w:szCs w:val="24"/>
        </w:rPr>
        <w:t>Effective:</w:t>
      </w:r>
      <w:r w:rsidRPr="00B0299F">
        <w:rPr>
          <w:szCs w:val="24"/>
        </w:rPr>
        <w:tab/>
        <w:t>_______________.</w:t>
      </w:r>
    </w:p>
    <w:p w14:paraId="33E1DA31" w14:textId="77777777" w:rsidR="003C3E73" w:rsidRPr="00B0299F" w:rsidRDefault="003C3E73" w:rsidP="003C3E73">
      <w:pPr>
        <w:rPr>
          <w:szCs w:val="24"/>
        </w:rPr>
      </w:pPr>
    </w:p>
    <w:p w14:paraId="7A7C4CDC" w14:textId="77777777" w:rsidR="003C3E73" w:rsidRPr="00B0299F" w:rsidRDefault="003C3E73" w:rsidP="003C3E73">
      <w:pPr>
        <w:rPr>
          <w:szCs w:val="24"/>
        </w:rPr>
      </w:pPr>
      <w:r w:rsidRPr="00B0299F">
        <w:rPr>
          <w:szCs w:val="24"/>
        </w:rPr>
        <w:t>Register:</w:t>
      </w:r>
      <w:r w:rsidRPr="00B0299F">
        <w:rPr>
          <w:szCs w:val="24"/>
        </w:rPr>
        <w:tab/>
        <w:t>_______________.</w:t>
      </w:r>
    </w:p>
    <w:p w14:paraId="0D9D8392" w14:textId="77777777" w:rsidR="003C3E73" w:rsidRDefault="003C3E73" w:rsidP="003C3E73">
      <w:pPr>
        <w:rPr>
          <w:szCs w:val="24"/>
        </w:rPr>
      </w:pPr>
    </w:p>
    <w:sectPr w:rsidR="003C3E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149C3" w14:textId="77777777" w:rsidR="00CC5157" w:rsidRDefault="00CC5157" w:rsidP="00A9452C">
      <w:r>
        <w:separator/>
      </w:r>
    </w:p>
  </w:endnote>
  <w:endnote w:type="continuationSeparator" w:id="0">
    <w:p w14:paraId="7F0CD4A1" w14:textId="77777777" w:rsidR="00CC5157" w:rsidRDefault="00CC5157" w:rsidP="00A9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imesNewRoman">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5E132" w14:textId="77777777" w:rsidR="00CC5157" w:rsidRDefault="00CC5157" w:rsidP="00A9452C">
      <w:r>
        <w:separator/>
      </w:r>
    </w:p>
  </w:footnote>
  <w:footnote w:type="continuationSeparator" w:id="0">
    <w:p w14:paraId="5D804510" w14:textId="77777777" w:rsidR="00CC5157" w:rsidRDefault="00CC5157" w:rsidP="00A94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D765F"/>
    <w:multiLevelType w:val="hybridMultilevel"/>
    <w:tmpl w:val="2758C88E"/>
    <w:lvl w:ilvl="0" w:tplc="435A3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E73"/>
    <w:rsid w:val="00014516"/>
    <w:rsid w:val="000302C3"/>
    <w:rsid w:val="00046FB8"/>
    <w:rsid w:val="000C0B4A"/>
    <w:rsid w:val="00104AE4"/>
    <w:rsid w:val="00112F06"/>
    <w:rsid w:val="001B3422"/>
    <w:rsid w:val="001B7714"/>
    <w:rsid w:val="001D3349"/>
    <w:rsid w:val="00207182"/>
    <w:rsid w:val="00224382"/>
    <w:rsid w:val="002A26D1"/>
    <w:rsid w:val="003A1690"/>
    <w:rsid w:val="003A7E61"/>
    <w:rsid w:val="003C3E73"/>
    <w:rsid w:val="003D70D5"/>
    <w:rsid w:val="004051F3"/>
    <w:rsid w:val="00436C1E"/>
    <w:rsid w:val="00542412"/>
    <w:rsid w:val="0055604C"/>
    <w:rsid w:val="0057385C"/>
    <w:rsid w:val="00591EF9"/>
    <w:rsid w:val="005D7BD4"/>
    <w:rsid w:val="00626B07"/>
    <w:rsid w:val="006B068D"/>
    <w:rsid w:val="007C199E"/>
    <w:rsid w:val="007D1DC2"/>
    <w:rsid w:val="00844905"/>
    <w:rsid w:val="008C4BDA"/>
    <w:rsid w:val="00914877"/>
    <w:rsid w:val="009320C4"/>
    <w:rsid w:val="00950755"/>
    <w:rsid w:val="00951CA7"/>
    <w:rsid w:val="00956B6B"/>
    <w:rsid w:val="009A27DB"/>
    <w:rsid w:val="009C2D9F"/>
    <w:rsid w:val="00A17B00"/>
    <w:rsid w:val="00A368C3"/>
    <w:rsid w:val="00A61BA6"/>
    <w:rsid w:val="00A66CDD"/>
    <w:rsid w:val="00A9452C"/>
    <w:rsid w:val="00AA4D8D"/>
    <w:rsid w:val="00AF082E"/>
    <w:rsid w:val="00B80796"/>
    <w:rsid w:val="00BF4A4B"/>
    <w:rsid w:val="00C053F5"/>
    <w:rsid w:val="00C17630"/>
    <w:rsid w:val="00C27308"/>
    <w:rsid w:val="00C34C35"/>
    <w:rsid w:val="00CC5157"/>
    <w:rsid w:val="00CF4C8B"/>
    <w:rsid w:val="00D12AAF"/>
    <w:rsid w:val="00DA3F59"/>
    <w:rsid w:val="00E25F59"/>
    <w:rsid w:val="00E64C84"/>
    <w:rsid w:val="00EB5C27"/>
    <w:rsid w:val="00F3280D"/>
    <w:rsid w:val="00F93C35"/>
    <w:rsid w:val="00FB33A5"/>
    <w:rsid w:val="00FD3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04B54"/>
  <w15:chartTrackingRefBased/>
  <w15:docId w15:val="{99A1B8A5-FE51-44E9-9FE9-7BC4D685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E7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199E"/>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C27308"/>
    <w:rPr>
      <w:sz w:val="16"/>
      <w:szCs w:val="16"/>
    </w:rPr>
  </w:style>
  <w:style w:type="paragraph" w:styleId="CommentText">
    <w:name w:val="annotation text"/>
    <w:basedOn w:val="Normal"/>
    <w:link w:val="CommentTextChar"/>
    <w:uiPriority w:val="99"/>
    <w:semiHidden/>
    <w:unhideWhenUsed/>
    <w:rsid w:val="00C27308"/>
    <w:rPr>
      <w:sz w:val="20"/>
    </w:rPr>
  </w:style>
  <w:style w:type="character" w:customStyle="1" w:styleId="CommentTextChar">
    <w:name w:val="Comment Text Char"/>
    <w:basedOn w:val="DefaultParagraphFont"/>
    <w:link w:val="CommentText"/>
    <w:uiPriority w:val="99"/>
    <w:semiHidden/>
    <w:rsid w:val="00C273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7308"/>
    <w:rPr>
      <w:b/>
      <w:bCs/>
    </w:rPr>
  </w:style>
  <w:style w:type="character" w:customStyle="1" w:styleId="CommentSubjectChar">
    <w:name w:val="Comment Subject Char"/>
    <w:basedOn w:val="CommentTextChar"/>
    <w:link w:val="CommentSubject"/>
    <w:uiPriority w:val="99"/>
    <w:semiHidden/>
    <w:rsid w:val="00C2730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73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308"/>
    <w:rPr>
      <w:rFonts w:ascii="Segoe UI" w:eastAsia="Times New Roman" w:hAnsi="Segoe UI" w:cs="Segoe UI"/>
      <w:sz w:val="18"/>
      <w:szCs w:val="18"/>
    </w:rPr>
  </w:style>
  <w:style w:type="paragraph" w:styleId="ListParagraph">
    <w:name w:val="List Paragraph"/>
    <w:basedOn w:val="Normal"/>
    <w:uiPriority w:val="34"/>
    <w:qFormat/>
    <w:rsid w:val="00E64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63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Alaska - Dept of Law</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E. Burger-Pothier</dc:creator>
  <cp:keywords/>
  <dc:description/>
  <cp:lastModifiedBy>Joan Wilson</cp:lastModifiedBy>
  <cp:revision>3</cp:revision>
  <dcterms:created xsi:type="dcterms:W3CDTF">2020-04-15T20:57:00Z</dcterms:created>
  <dcterms:modified xsi:type="dcterms:W3CDTF">2020-04-15T21:02:00Z</dcterms:modified>
</cp:coreProperties>
</file>